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8D" w:rsidRDefault="00E40750" w:rsidP="007C2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88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учебных планов</w:t>
      </w:r>
      <w:r w:rsidR="007C2088" w:rsidRPr="007C2088">
        <w:rPr>
          <w:rFonts w:ascii="Times New Roman" w:hAnsi="Times New Roman" w:cs="Times New Roman"/>
          <w:b/>
          <w:sz w:val="24"/>
          <w:szCs w:val="24"/>
        </w:rPr>
        <w:t xml:space="preserve"> профильного обучения (опыт ГБОУ средняя общеобразовательная школа № 422 г.Кронштадта)</w:t>
      </w:r>
    </w:p>
    <w:p w:rsidR="00AB5D34" w:rsidRPr="007C2088" w:rsidRDefault="00AB5D34" w:rsidP="007C2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7C2088" w:rsidRDefault="007C2088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является завершающим этапом </w:t>
      </w:r>
      <w:r w:rsidR="009E3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общего образования</w:t>
      </w:r>
      <w:r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обеспечивающим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дифференциации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9E32C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обеспечение готовности к выбору дальнейшего маршрута непрерывного образования.</w:t>
      </w:r>
    </w:p>
    <w:p w:rsidR="00C51A27" w:rsidRDefault="00C51A27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AB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введения ФГОС СОО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частью ООП</w:t>
      </w:r>
      <w:r w:rsid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(важнейший компонент организационного раздела). </w:t>
      </w:r>
      <w:r w:rsidR="0004764D"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предъявляет требования к соотношению обязательной части основной образовательной программы и части, формируемой участниками образовательных отношений</w:t>
      </w:r>
      <w:r w:rsid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B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старшей ступени - </w:t>
      </w:r>
      <w:r w:rsid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>60 и 40%%).</w:t>
      </w:r>
      <w:r w:rsidR="0004764D"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является локальным нормативным правовым актом и неотъемлемой частью организационного раздела основной образовательной программы, механизмом ее реализации. 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школы: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фиксирует максимальный объём учебной нагрузки обучающихся;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(регламентирует) перечень учебных предметов, курсов и время, отводимое на их освоение и организацию;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распределяет учебные предметы, курсы по классам и учебным годам. Учебный план состоит из двух частей: обязательной части и части, формируемой участниками образовательных отношений.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учебного плана определяет состав учебных предметов обязательных предметных областей для школы, имеющей по данной программе государственную аккредитацию образовательных организаций, реализующих основные образовательные программы начального, основного общего образования, и учебное время, отводимое на их изучение по классам (годам) обучения.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организации, с учетом мнения коллегиального органа школы.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Часть, формируемую участниками образовательных отношений, можно использовать: 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увеличение учебных часов, предусмотренных на изучение отдельных учебных предметов обязательной части;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включение специально разработанных учебных курсов, обеспечивающих интересы и потребности участников образовательных отношений, в том числе курсов, учитывающих особенности региона; </w:t>
      </w:r>
    </w:p>
    <w:p w:rsidR="0004764D" w:rsidRDefault="0004764D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внеурочную деятельность.</w:t>
      </w:r>
    </w:p>
    <w:p w:rsidR="00791726" w:rsidRDefault="00791726" w:rsidP="007917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аудиторная нагрузка обучающихся соответствует нормативным требованиям СанПиН 2.4.2.2821-10 «Санитарно-эпидемиологические требования условиям и организации обучения в общеобразовательных учреждениях»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в X-Х</w:t>
      </w:r>
      <w:r w:rsidRPr="00420C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37 часов в неделю.</w:t>
      </w:r>
    </w:p>
    <w:p w:rsidR="0004764D" w:rsidRPr="00AB5D34" w:rsidRDefault="00AB5D34" w:rsidP="00AB5D3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проектирования учебного плана</w:t>
      </w:r>
    </w:p>
    <w:p w:rsidR="007C2088" w:rsidRDefault="007C2088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учебных планов профильного обучения</w:t>
      </w:r>
      <w:r w:rsid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91726"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>X-Х</w:t>
      </w:r>
      <w:r w:rsidR="00791726" w:rsidRPr="00420C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91726"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ФГОС СОО можно выделить несколько общих шагов:</w:t>
      </w:r>
    </w:p>
    <w:p w:rsidR="007C2088" w:rsidRPr="007C2088" w:rsidRDefault="007C2088" w:rsidP="007C208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Шаг 1. Изучение нормативной базы, на основ</w:t>
      </w:r>
      <w:r w:rsidR="00005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ании</w:t>
      </w:r>
      <w:r w:rsidRPr="007C2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которой проектируются учебные планы</w:t>
      </w:r>
    </w:p>
    <w:p w:rsidR="007C2088" w:rsidRPr="00791726" w:rsidRDefault="007C2088" w:rsidP="007C2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нормативно-правовых документов федерального и регионального уровней</w:t>
      </w:r>
      <w:r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2088" w:rsidRPr="00791726" w:rsidRDefault="00C51A27" w:rsidP="00E93FD7">
      <w:pPr>
        <w:numPr>
          <w:ilvl w:val="0"/>
          <w:numId w:val="1"/>
        </w:numPr>
        <w:spacing w:after="0" w:line="276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r w:rsidR="007C2088"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  № 273-ФЗ «Об образовании в Российской Федерации».</w:t>
      </w:r>
    </w:p>
    <w:p w:rsidR="00C51A27" w:rsidRPr="00791726" w:rsidRDefault="00C51A27" w:rsidP="00E93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91726">
        <w:rPr>
          <w:rFonts w:ascii="Times New Roman" w:eastAsia="TimesNewRomanPSMT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года № 1015 (в ред. приказа Минобрнауки России от 17.07.2015 г. № 734)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51A27" w:rsidRPr="00791726" w:rsidRDefault="00C51A27" w:rsidP="00E93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91726">
        <w:rPr>
          <w:rFonts w:ascii="Times New Roman" w:eastAsia="TimesNewRomanPSMT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17 мая 2012 года № 413 (в ред. приказа Минобрнауки России от 31 декабря 2015 года № 1578) «Об утверждении федерального государственного образовательного стандарта среднего общего образования» (с изменениями </w:t>
      </w:r>
      <w:r w:rsidRPr="00791726">
        <w:rPr>
          <w:rFonts w:ascii="Times New Roman" w:hAnsi="Times New Roman" w:cs="Times New Roman"/>
          <w:bCs/>
          <w:color w:val="333333"/>
          <w:sz w:val="24"/>
          <w:szCs w:val="24"/>
        </w:rPr>
        <w:t>от 29.06.2017)</w:t>
      </w:r>
    </w:p>
    <w:p w:rsidR="00C51A27" w:rsidRPr="00791726" w:rsidRDefault="00C51A27" w:rsidP="00E93FD7">
      <w:pPr>
        <w:numPr>
          <w:ilvl w:val="0"/>
          <w:numId w:val="1"/>
        </w:numPr>
        <w:spacing w:after="0" w:line="276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2016г. №2/16-з).</w:t>
      </w:r>
    </w:p>
    <w:p w:rsidR="00C51A27" w:rsidRPr="00791726" w:rsidRDefault="00C51A27" w:rsidP="00E93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91726">
        <w:rPr>
          <w:rFonts w:ascii="Times New Roman" w:eastAsia="TimesNewRomanPSMT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 декабря 2010 № 189 (в ред. постановления Главного государственного санитарного врача Российской Федерации № 81 от 24.12.2015 г.)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7C2088" w:rsidRPr="00791726" w:rsidRDefault="00C51A27" w:rsidP="00E93FD7">
      <w:pPr>
        <w:pStyle w:val="a3"/>
        <w:numPr>
          <w:ilvl w:val="0"/>
          <w:numId w:val="1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Минобрнауки об изменениях и дополнениях в федеральные перечни учебников.</w:t>
      </w:r>
    </w:p>
    <w:p w:rsidR="00C51A27" w:rsidRPr="00791726" w:rsidRDefault="00C51A27" w:rsidP="00E93FD7">
      <w:pPr>
        <w:pStyle w:val="a3"/>
        <w:numPr>
          <w:ilvl w:val="0"/>
          <w:numId w:val="1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hAnsi="Times New Roman" w:cs="Times New Roman"/>
          <w:sz w:val="24"/>
          <w:szCs w:val="24"/>
        </w:rPr>
        <w:t>Письмо Минобрнауки России №ТС-194/08 от 20.06.2017г. «Об организации изучения учебного предмета «Астрономия»</w:t>
      </w:r>
      <w:r w:rsidR="0004764D" w:rsidRPr="00791726">
        <w:rPr>
          <w:rFonts w:ascii="Times New Roman" w:hAnsi="Times New Roman" w:cs="Times New Roman"/>
          <w:sz w:val="24"/>
          <w:szCs w:val="24"/>
        </w:rPr>
        <w:t>.</w:t>
      </w:r>
    </w:p>
    <w:p w:rsidR="00AB5D34" w:rsidRPr="00791726" w:rsidRDefault="00AB5D34" w:rsidP="00E93FD7">
      <w:pPr>
        <w:pStyle w:val="a3"/>
        <w:numPr>
          <w:ilvl w:val="0"/>
          <w:numId w:val="1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Российской Федерации от 14 декабря 2015 г. № 09-3564 «О внеурочной деятельности и реализации дополнительных общеобразовательных программ».</w:t>
      </w:r>
    </w:p>
    <w:p w:rsidR="0004764D" w:rsidRPr="00791726" w:rsidRDefault="0004764D" w:rsidP="00E93FD7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1726">
        <w:rPr>
          <w:rFonts w:ascii="Times New Roman" w:hAnsi="Times New Roman" w:cs="Times New Roman"/>
          <w:sz w:val="24"/>
          <w:szCs w:val="24"/>
        </w:rPr>
        <w:t>Распоряжение Комитета по образованию от 03.04.2019 № 10101-р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2019/2020 учебном году»;</w:t>
      </w:r>
    </w:p>
    <w:p w:rsidR="0004764D" w:rsidRPr="00791726" w:rsidRDefault="0004764D" w:rsidP="00E93FD7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1726">
        <w:rPr>
          <w:rFonts w:ascii="Times New Roman" w:hAnsi="Times New Roman" w:cs="Times New Roman"/>
          <w:sz w:val="24"/>
          <w:szCs w:val="24"/>
        </w:rPr>
        <w:t>Распоряжение Комитета по образованию от 20.03.2019 № 796-р 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2019/2020 учебный год».</w:t>
      </w:r>
    </w:p>
    <w:p w:rsidR="00AB5D34" w:rsidRPr="00791726" w:rsidRDefault="00AB5D34" w:rsidP="00E93FD7">
      <w:pPr>
        <w:numPr>
          <w:ilvl w:val="0"/>
          <w:numId w:val="1"/>
        </w:numPr>
        <w:spacing w:after="200" w:line="276" w:lineRule="auto"/>
        <w:ind w:left="0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7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Инструктивно-методическое письмо Комитета по образованию от 21.03.2018 № 03-28-1820/18-0-0 «О формировании учебных планов образовательных организаций Санкт-Петербурга, реализующих основные общеобразовательные программы, на 2018/2019 учебный год».</w:t>
      </w:r>
    </w:p>
    <w:p w:rsidR="0004764D" w:rsidRPr="00791726" w:rsidRDefault="0004764D" w:rsidP="00E93FD7">
      <w:pPr>
        <w:pStyle w:val="Heading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1726">
        <w:rPr>
          <w:rFonts w:ascii="Times New Roman" w:hAnsi="Times New Roman" w:cs="Times New Roman"/>
          <w:b w:val="0"/>
          <w:sz w:val="24"/>
          <w:szCs w:val="24"/>
        </w:rPr>
        <w:t>Инструктивно-методическое письмо Комитета по образованию  «О формировании учебных планов образовательных организаций Санкт-Петербурга, реализующих основные общеобразовательные программы, на 2019/2020 учебный год»</w:t>
      </w:r>
    </w:p>
    <w:p w:rsidR="00FF4ED1" w:rsidRDefault="00FF4ED1" w:rsidP="00AB5D34">
      <w:pPr>
        <w:pStyle w:val="Head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3FD7" w:rsidRDefault="00E93FD7" w:rsidP="00AB5D34">
      <w:pPr>
        <w:pStyle w:val="Head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3FD7" w:rsidRDefault="00E93FD7" w:rsidP="00AB5D34">
      <w:pPr>
        <w:pStyle w:val="Head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3FD7" w:rsidRDefault="00E93FD7" w:rsidP="00AB5D34">
      <w:pPr>
        <w:pStyle w:val="Head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4ED1" w:rsidRDefault="00FF4ED1" w:rsidP="00AB5D34">
      <w:pPr>
        <w:pStyle w:val="Head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5D34" w:rsidRPr="00AB5D34" w:rsidRDefault="00AB5D34" w:rsidP="00AB5D34">
      <w:pPr>
        <w:pStyle w:val="Head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5D34">
        <w:rPr>
          <w:rFonts w:ascii="Times New Roman" w:hAnsi="Times New Roman" w:cs="Times New Roman"/>
          <w:sz w:val="24"/>
          <w:szCs w:val="24"/>
        </w:rPr>
        <w:lastRenderedPageBreak/>
        <w:t>Шаг 2. Изучение образовательных потребностей и запросов обучающихся</w:t>
      </w:r>
    </w:p>
    <w:p w:rsidR="0004764D" w:rsidRPr="0004764D" w:rsidRDefault="0004764D" w:rsidP="0004764D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88" w:rsidRPr="00791726" w:rsidRDefault="00AB5D34" w:rsidP="00E93FD7">
      <w:pPr>
        <w:pStyle w:val="a3"/>
        <w:numPr>
          <w:ilvl w:val="0"/>
          <w:numId w:val="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1726">
        <w:rPr>
          <w:rFonts w:ascii="Times New Roman" w:hAnsi="Times New Roman" w:cs="Times New Roman"/>
          <w:sz w:val="24"/>
          <w:szCs w:val="24"/>
        </w:rPr>
        <w:t>Организация диагностики интересов и склонностей обучающихся в рамках предпрофильной подготовки на основе психолого-педагогической диагностики, собеседования, образовательных достижений обучающихся.</w:t>
      </w:r>
    </w:p>
    <w:p w:rsidR="00AB5D34" w:rsidRPr="00791726" w:rsidRDefault="00AB5D34" w:rsidP="00E93FD7">
      <w:pPr>
        <w:pStyle w:val="a3"/>
        <w:numPr>
          <w:ilvl w:val="0"/>
          <w:numId w:val="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1726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результатов, </w:t>
      </w:r>
      <w:r w:rsidR="00791726" w:rsidRPr="00791726">
        <w:rPr>
          <w:rFonts w:ascii="Times New Roman" w:hAnsi="Times New Roman" w:cs="Times New Roman"/>
          <w:sz w:val="24"/>
          <w:szCs w:val="24"/>
        </w:rPr>
        <w:t>предварительное формирование</w:t>
      </w:r>
      <w:r w:rsidRPr="00791726">
        <w:rPr>
          <w:rFonts w:ascii="Times New Roman" w:hAnsi="Times New Roman" w:cs="Times New Roman"/>
          <w:sz w:val="24"/>
          <w:szCs w:val="24"/>
        </w:rPr>
        <w:t xml:space="preserve"> групп обучающихся, имеющих общие инт</w:t>
      </w:r>
      <w:r w:rsidR="00791726" w:rsidRPr="00791726">
        <w:rPr>
          <w:rFonts w:ascii="Times New Roman" w:hAnsi="Times New Roman" w:cs="Times New Roman"/>
          <w:sz w:val="24"/>
          <w:szCs w:val="24"/>
        </w:rPr>
        <w:t>е</w:t>
      </w:r>
      <w:r w:rsidRPr="00791726">
        <w:rPr>
          <w:rFonts w:ascii="Times New Roman" w:hAnsi="Times New Roman" w:cs="Times New Roman"/>
          <w:sz w:val="24"/>
          <w:szCs w:val="24"/>
        </w:rPr>
        <w:t>ресы</w:t>
      </w:r>
      <w:r w:rsidR="00791726" w:rsidRPr="00791726">
        <w:rPr>
          <w:rFonts w:ascii="Times New Roman" w:hAnsi="Times New Roman" w:cs="Times New Roman"/>
          <w:sz w:val="24"/>
          <w:szCs w:val="24"/>
        </w:rPr>
        <w:t>.</w:t>
      </w:r>
    </w:p>
    <w:p w:rsidR="00791726" w:rsidRDefault="00791726" w:rsidP="00E93FD7">
      <w:pPr>
        <w:pStyle w:val="a3"/>
        <w:numPr>
          <w:ilvl w:val="0"/>
          <w:numId w:val="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1726">
        <w:rPr>
          <w:rFonts w:ascii="Times New Roman" w:hAnsi="Times New Roman" w:cs="Times New Roman"/>
          <w:sz w:val="24"/>
          <w:szCs w:val="24"/>
        </w:rPr>
        <w:t>Анализ образовательных возможностей школы и поиск механизмов удовлетв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91726">
        <w:rPr>
          <w:rFonts w:ascii="Times New Roman" w:hAnsi="Times New Roman" w:cs="Times New Roman"/>
          <w:sz w:val="24"/>
          <w:szCs w:val="24"/>
        </w:rPr>
        <w:t xml:space="preserve">рения индивидуальных (выходящих за рамки формируемых профилей)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791726">
        <w:rPr>
          <w:rFonts w:ascii="Times New Roman" w:hAnsi="Times New Roman" w:cs="Times New Roman"/>
          <w:sz w:val="24"/>
          <w:szCs w:val="24"/>
        </w:rPr>
        <w:t>запрос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91726">
        <w:rPr>
          <w:rFonts w:ascii="Times New Roman" w:hAnsi="Times New Roman" w:cs="Times New Roman"/>
          <w:sz w:val="24"/>
          <w:szCs w:val="24"/>
        </w:rPr>
        <w:t>.</w:t>
      </w:r>
    </w:p>
    <w:p w:rsidR="00791726" w:rsidRDefault="00791726" w:rsidP="00E93FD7">
      <w:pPr>
        <w:pStyle w:val="a3"/>
        <w:numPr>
          <w:ilvl w:val="0"/>
          <w:numId w:val="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запросов на обучение по ИУП (одаренные дети, дети с ОВЗ и дети, выбирающие очную и очно-заочную формы обучения).</w:t>
      </w:r>
    </w:p>
    <w:p w:rsidR="00791726" w:rsidRDefault="00791726" w:rsidP="00E93FD7">
      <w:pPr>
        <w:pStyle w:val="a3"/>
        <w:numPr>
          <w:ilvl w:val="0"/>
          <w:numId w:val="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обучающихся и их родителей (законных представителей) о возможных профилях обучения</w:t>
      </w:r>
      <w:r w:rsidR="00127D76">
        <w:rPr>
          <w:rFonts w:ascii="Times New Roman" w:hAnsi="Times New Roman" w:cs="Times New Roman"/>
          <w:sz w:val="24"/>
          <w:szCs w:val="24"/>
        </w:rPr>
        <w:t xml:space="preserve">, порядке выбора и изменения </w:t>
      </w:r>
      <w:r w:rsidR="00FF4ED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127D76">
        <w:rPr>
          <w:rFonts w:ascii="Times New Roman" w:hAnsi="Times New Roman" w:cs="Times New Roman"/>
          <w:sz w:val="24"/>
          <w:szCs w:val="24"/>
        </w:rPr>
        <w:t xml:space="preserve"> маршрута.</w:t>
      </w:r>
    </w:p>
    <w:p w:rsidR="00791726" w:rsidRDefault="00791726" w:rsidP="007917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726">
        <w:rPr>
          <w:rFonts w:ascii="Times New Roman" w:hAnsi="Times New Roman" w:cs="Times New Roman"/>
          <w:b/>
          <w:sz w:val="24"/>
          <w:szCs w:val="24"/>
        </w:rPr>
        <w:t>Шаг 3. Конструирование учебного плана профильного обучения</w:t>
      </w:r>
    </w:p>
    <w:p w:rsidR="005B36BE" w:rsidRPr="005B36BE" w:rsidRDefault="000269D4" w:rsidP="00E93FD7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6BE">
        <w:rPr>
          <w:rFonts w:ascii="Times New Roman" w:hAnsi="Times New Roman" w:cs="Times New Roman"/>
          <w:b/>
          <w:sz w:val="24"/>
          <w:szCs w:val="24"/>
        </w:rPr>
        <w:t xml:space="preserve">Проектирование обязательной части учебного плана </w:t>
      </w:r>
    </w:p>
    <w:p w:rsidR="00791726" w:rsidRPr="005B36BE" w:rsidRDefault="00791726" w:rsidP="00E93FD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36BE">
        <w:rPr>
          <w:rFonts w:ascii="Times New Roman" w:hAnsi="Times New Roman" w:cs="Times New Roman"/>
          <w:sz w:val="24"/>
          <w:szCs w:val="24"/>
        </w:rPr>
        <w:t xml:space="preserve">Включение инвариантных, </w:t>
      </w:r>
      <w:r w:rsidRPr="00D50E12">
        <w:rPr>
          <w:rFonts w:ascii="Times New Roman" w:hAnsi="Times New Roman" w:cs="Times New Roman"/>
          <w:b/>
          <w:sz w:val="24"/>
          <w:szCs w:val="24"/>
        </w:rPr>
        <w:t>обязательных для всех профилей учебных предметов</w:t>
      </w:r>
      <w:r w:rsidRPr="005B36B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B36BE">
        <w:rPr>
          <w:rFonts w:ascii="Times New Roman" w:hAnsi="Times New Roman" w:cs="Times New Roman"/>
          <w:sz w:val="24"/>
          <w:szCs w:val="24"/>
        </w:rPr>
        <w:t>«Русский язык», «Литература», «Математика», «Иностранный язык», «История», «ОБЖ», «Физическая культура», «Астрономия».</w:t>
      </w:r>
      <w:proofErr w:type="gramEnd"/>
    </w:p>
    <w:p w:rsidR="00FF4ED1" w:rsidRPr="00FF4ED1" w:rsidRDefault="00D50E12" w:rsidP="00E93FD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="00FF4ED1" w:rsidRPr="00FF4ED1">
        <w:rPr>
          <w:rFonts w:ascii="Times New Roman" w:hAnsi="Times New Roman" w:cs="Times New Roman"/>
          <w:sz w:val="24"/>
          <w:szCs w:val="24"/>
        </w:rPr>
        <w:t xml:space="preserve"> обязательны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F4ED1" w:rsidRPr="00FF4ED1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4ED1" w:rsidRPr="00FF4ED1">
        <w:rPr>
          <w:rFonts w:ascii="Times New Roman" w:hAnsi="Times New Roman" w:cs="Times New Roman"/>
          <w:sz w:val="24"/>
          <w:szCs w:val="24"/>
        </w:rPr>
        <w:t xml:space="preserve"> предметами для изучения на базовом уровне. Их должно быть не менее одного из каждой предмет</w:t>
      </w:r>
      <w:r w:rsidR="00FF4ED1" w:rsidRPr="00FF4ED1">
        <w:rPr>
          <w:rFonts w:ascii="Times New Roman" w:hAnsi="Times New Roman" w:cs="Times New Roman"/>
          <w:sz w:val="24"/>
          <w:szCs w:val="24"/>
        </w:rPr>
        <w:softHyphen/>
        <w:t xml:space="preserve">ной области. </w:t>
      </w:r>
    </w:p>
    <w:p w:rsidR="00D50E12" w:rsidRPr="00D50E12" w:rsidRDefault="00FF4ED1" w:rsidP="00E93FD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ED1">
        <w:rPr>
          <w:rFonts w:ascii="Times New Roman" w:hAnsi="Times New Roman" w:cs="Times New Roman"/>
          <w:sz w:val="24"/>
          <w:szCs w:val="24"/>
        </w:rPr>
        <w:t>Включ</w:t>
      </w:r>
      <w:r w:rsidR="00D50E12">
        <w:rPr>
          <w:rFonts w:ascii="Times New Roman" w:hAnsi="Times New Roman" w:cs="Times New Roman"/>
          <w:sz w:val="24"/>
          <w:szCs w:val="24"/>
        </w:rPr>
        <w:t>ение</w:t>
      </w:r>
      <w:r w:rsidRPr="00FF4ED1">
        <w:rPr>
          <w:rFonts w:ascii="Times New Roman" w:hAnsi="Times New Roman" w:cs="Times New Roman"/>
          <w:sz w:val="24"/>
          <w:szCs w:val="24"/>
        </w:rPr>
        <w:t xml:space="preserve"> в учебный план </w:t>
      </w:r>
      <w:r w:rsidRPr="00D50E12">
        <w:rPr>
          <w:rFonts w:ascii="Times New Roman" w:hAnsi="Times New Roman" w:cs="Times New Roman"/>
          <w:b/>
          <w:sz w:val="24"/>
          <w:szCs w:val="24"/>
        </w:rPr>
        <w:t>минимум три учебных предмета на углубленном уровне</w:t>
      </w:r>
      <w:r w:rsidRPr="00FF4ED1">
        <w:rPr>
          <w:rFonts w:ascii="Times New Roman" w:hAnsi="Times New Roman" w:cs="Times New Roman"/>
          <w:sz w:val="24"/>
          <w:szCs w:val="24"/>
        </w:rPr>
        <w:t>, которые определят направленность образо</w:t>
      </w:r>
      <w:r w:rsidRPr="00FF4ED1">
        <w:rPr>
          <w:rFonts w:ascii="Times New Roman" w:hAnsi="Times New Roman" w:cs="Times New Roman"/>
          <w:sz w:val="24"/>
          <w:szCs w:val="24"/>
        </w:rPr>
        <w:softHyphen/>
        <w:t xml:space="preserve">вания в профиле. </w:t>
      </w:r>
      <w:r w:rsidR="00D50E12">
        <w:rPr>
          <w:rFonts w:ascii="Times New Roman" w:hAnsi="Times New Roman" w:cs="Times New Roman"/>
          <w:sz w:val="24"/>
          <w:szCs w:val="24"/>
        </w:rPr>
        <w:t>Е</w:t>
      </w:r>
      <w:r w:rsidRPr="00FF4ED1">
        <w:rPr>
          <w:rFonts w:ascii="Times New Roman" w:hAnsi="Times New Roman" w:cs="Times New Roman"/>
          <w:sz w:val="24"/>
          <w:szCs w:val="24"/>
        </w:rPr>
        <w:t>сли учебный предмет выбран в профиле для углубленного изучения, то на базовом уровне он не изучается.</w:t>
      </w:r>
      <w:r w:rsidR="00D50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ED1" w:rsidRPr="00D50E12" w:rsidRDefault="00D50E12" w:rsidP="00E93F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универсальном профиле все предметы могут изучаться  на базовом уровне или 1-2 предмета на углубленном уровне (по выбору учащихся).</w:t>
      </w:r>
    </w:p>
    <w:p w:rsidR="000269D4" w:rsidRPr="00D50E12" w:rsidRDefault="005B36BE" w:rsidP="00E93FD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12">
        <w:rPr>
          <w:rFonts w:ascii="Times New Roman" w:hAnsi="Times New Roman" w:cs="Times New Roman"/>
          <w:sz w:val="24"/>
          <w:szCs w:val="24"/>
        </w:rPr>
        <w:t>Включение дополнительных учебных предметов и курсов по выбору</w:t>
      </w:r>
      <w:r w:rsidR="00C25588" w:rsidRPr="00D50E12">
        <w:rPr>
          <w:rFonts w:ascii="Times New Roman" w:hAnsi="Times New Roman" w:cs="Times New Roman"/>
          <w:sz w:val="24"/>
          <w:szCs w:val="24"/>
        </w:rPr>
        <w:t xml:space="preserve"> (в том числе с учетом регионального компонента).</w:t>
      </w:r>
      <w:r w:rsidR="000269D4" w:rsidRPr="00D50E12">
        <w:rPr>
          <w:rFonts w:ascii="Times New Roman" w:hAnsi="Times New Roman" w:cs="Times New Roman"/>
          <w:sz w:val="24"/>
          <w:szCs w:val="24"/>
        </w:rPr>
        <w:t xml:space="preserve"> </w:t>
      </w:r>
      <w:r w:rsidR="000269D4" w:rsidRPr="00D5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Региональным  компонентом  учебного плана предусмотрено включение дополнительных часов на изучение учебных предметов «Русский язык» и «История»  - по 1 часу в неделю в  </w:t>
      </w:r>
      <w:r w:rsidR="000269D4" w:rsidRPr="00D5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классах</w:t>
      </w:r>
      <w:r w:rsidR="000269D4" w:rsidRPr="00D5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профиля, естественнонаучного профиля, универсального профиля.</w:t>
      </w:r>
    </w:p>
    <w:p w:rsidR="008053C7" w:rsidRPr="008053C7" w:rsidRDefault="005B36BE" w:rsidP="00E93FD7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C7">
        <w:rPr>
          <w:rFonts w:ascii="Times New Roman" w:hAnsi="Times New Roman" w:cs="Times New Roman"/>
          <w:sz w:val="24"/>
          <w:szCs w:val="24"/>
        </w:rPr>
        <w:t xml:space="preserve">Включение времени на </w:t>
      </w:r>
      <w:proofErr w:type="gramStart"/>
      <w:r w:rsidRPr="008053C7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="008053C7" w:rsidRPr="008053C7">
        <w:rPr>
          <w:rFonts w:ascii="Times New Roman" w:hAnsi="Times New Roman" w:cs="Times New Roman"/>
          <w:sz w:val="24"/>
          <w:szCs w:val="24"/>
        </w:rPr>
        <w:t xml:space="preserve"> (</w:t>
      </w:r>
      <w:r w:rsidR="008053C7" w:rsidRPr="008053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индивидуального проекта, при наполняемости класса 25 и более человек,</w:t>
      </w:r>
      <w:r w:rsidR="00C2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опыте</w:t>
      </w:r>
      <w:r w:rsidR="008053C7" w:rsidRPr="0080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 делится на </w:t>
      </w:r>
      <w:r w:rsidR="008053C7" w:rsidRPr="0080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группы</w:t>
      </w:r>
      <w:r w:rsidR="008053C7" w:rsidRPr="008053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36BE" w:rsidRDefault="005B36BE" w:rsidP="008053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6BE" w:rsidRPr="005B36BE" w:rsidRDefault="005B36BE" w:rsidP="000269D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Проектирование части, формируемой участниками образовательных отношений</w:t>
      </w:r>
    </w:p>
    <w:p w:rsidR="005B36BE" w:rsidRDefault="005B36BE" w:rsidP="005B36B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количества часов обязательной части</w:t>
      </w:r>
    </w:p>
    <w:p w:rsidR="005B36BE" w:rsidRDefault="005B36BE" w:rsidP="005B36B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по выбору обучающихся </w:t>
      </w:r>
    </w:p>
    <w:p w:rsidR="005B36BE" w:rsidRDefault="005B36BE" w:rsidP="005B36B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внеурочной деятельности</w:t>
      </w:r>
    </w:p>
    <w:p w:rsidR="005B36BE" w:rsidRPr="00420C3A" w:rsidRDefault="008053C7" w:rsidP="008053C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проектировании учебного плана необходимо учитывать деление обучающихся на группы. </w:t>
      </w:r>
      <w:r w:rsidR="005B36BE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5B36BE"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деление классов на две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6BE" w:rsidRPr="00420C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основных общеобразовательных программ среднего общего образования при проведении учебных занятий по  «Английскому языку», «Информатике и ИКТ», а также для изучения элективных учебных предметов при наполняемости класса 25 и более человек.</w:t>
      </w:r>
    </w:p>
    <w:p w:rsidR="005B36BE" w:rsidRPr="00C25588" w:rsidRDefault="008053C7" w:rsidP="000269D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3C7">
        <w:rPr>
          <w:rFonts w:ascii="Times New Roman" w:hAnsi="Times New Roman" w:cs="Times New Roman"/>
          <w:b/>
          <w:sz w:val="24"/>
          <w:szCs w:val="24"/>
        </w:rPr>
        <w:lastRenderedPageBreak/>
        <w:t>Проверка количества часов с учетом максимально допустимой нагрузки обучающихся (</w:t>
      </w:r>
      <w:r w:rsidRPr="008053C7">
        <w:rPr>
          <w:rFonts w:ascii="Times New Roman" w:hAnsi="Times New Roman" w:cs="Times New Roman"/>
          <w:sz w:val="24"/>
          <w:szCs w:val="24"/>
        </w:rPr>
        <w:t>ФГОС</w:t>
      </w:r>
      <w:r w:rsidRPr="00805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3C7">
        <w:rPr>
          <w:rFonts w:ascii="Times New Roman" w:hAnsi="Times New Roman" w:cs="Times New Roman"/>
          <w:sz w:val="24"/>
          <w:szCs w:val="24"/>
        </w:rPr>
        <w:t>СОО предусматривает максимальное количество учебных занятий не менее чем 2170</w:t>
      </w:r>
      <w:r w:rsidR="00C25588">
        <w:rPr>
          <w:rFonts w:ascii="Times New Roman" w:hAnsi="Times New Roman" w:cs="Times New Roman"/>
          <w:sz w:val="24"/>
          <w:szCs w:val="24"/>
        </w:rPr>
        <w:t xml:space="preserve"> </w:t>
      </w:r>
      <w:r w:rsidR="00C25588" w:rsidRPr="00C25588">
        <w:rPr>
          <w:rFonts w:ascii="Times New Roman" w:hAnsi="Times New Roman" w:cs="Times New Roman"/>
          <w:sz w:val="24"/>
          <w:szCs w:val="24"/>
        </w:rPr>
        <w:t>(п. 18.3.1 ФГОС среднего общего образования)</w:t>
      </w:r>
      <w:r w:rsidRPr="008053C7">
        <w:rPr>
          <w:rFonts w:ascii="Times New Roman" w:hAnsi="Times New Roman" w:cs="Times New Roman"/>
          <w:sz w:val="24"/>
          <w:szCs w:val="24"/>
        </w:rPr>
        <w:t xml:space="preserve"> </w:t>
      </w:r>
      <w:r w:rsidRPr="00805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не более 2590 часов за </w:t>
      </w:r>
      <w:r w:rsidRPr="008053C7">
        <w:rPr>
          <w:rFonts w:ascii="Times New Roman" w:hAnsi="Times New Roman" w:cs="Times New Roman"/>
          <w:sz w:val="24"/>
          <w:szCs w:val="24"/>
        </w:rPr>
        <w:t>2 года обучения</w:t>
      </w:r>
      <w:r w:rsidR="00C25588">
        <w:rPr>
          <w:rFonts w:ascii="Times New Roman" w:hAnsi="Times New Roman" w:cs="Times New Roman"/>
          <w:sz w:val="24"/>
          <w:szCs w:val="24"/>
        </w:rPr>
        <w:t xml:space="preserve"> </w:t>
      </w:r>
      <w:r w:rsidR="000269D4">
        <w:rPr>
          <w:rFonts w:ascii="Times New Roman" w:hAnsi="Times New Roman" w:cs="Times New Roman"/>
          <w:sz w:val="24"/>
          <w:szCs w:val="24"/>
        </w:rPr>
        <w:t>(</w:t>
      </w:r>
      <w:r w:rsidR="00C25588">
        <w:rPr>
          <w:rFonts w:ascii="Times New Roman" w:hAnsi="Times New Roman" w:cs="Times New Roman"/>
          <w:sz w:val="24"/>
          <w:szCs w:val="24"/>
        </w:rPr>
        <w:t>с учетом курсов по выбору</w:t>
      </w:r>
      <w:r w:rsidRPr="008053C7">
        <w:rPr>
          <w:rFonts w:ascii="Times New Roman" w:hAnsi="Times New Roman" w:cs="Times New Roman"/>
          <w:sz w:val="24"/>
          <w:szCs w:val="24"/>
        </w:rPr>
        <w:t>)</w:t>
      </w:r>
      <w:r w:rsidR="00C25588">
        <w:rPr>
          <w:rFonts w:ascii="Times New Roman" w:hAnsi="Times New Roman" w:cs="Times New Roman"/>
          <w:sz w:val="24"/>
          <w:szCs w:val="24"/>
        </w:rPr>
        <w:t xml:space="preserve">. </w:t>
      </w:r>
      <w:r w:rsidR="00C25588" w:rsidRPr="00C25588">
        <w:rPr>
          <w:rFonts w:ascii="Times New Roman" w:hAnsi="Times New Roman" w:cs="Times New Roman"/>
          <w:sz w:val="24"/>
          <w:szCs w:val="24"/>
        </w:rPr>
        <w:t xml:space="preserve">Если количество часов менее 2170, то </w:t>
      </w:r>
      <w:r w:rsidR="00C25588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C25588" w:rsidRPr="00C25588">
        <w:rPr>
          <w:rFonts w:ascii="Times New Roman" w:hAnsi="Times New Roman" w:cs="Times New Roman"/>
          <w:sz w:val="24"/>
          <w:szCs w:val="24"/>
        </w:rPr>
        <w:t>дополнит</w:t>
      </w:r>
      <w:r w:rsidR="00C25588">
        <w:rPr>
          <w:rFonts w:ascii="Times New Roman" w:hAnsi="Times New Roman" w:cs="Times New Roman"/>
          <w:sz w:val="24"/>
          <w:szCs w:val="24"/>
        </w:rPr>
        <w:t>ь</w:t>
      </w:r>
      <w:r w:rsidR="00C25588" w:rsidRPr="00C25588">
        <w:rPr>
          <w:rFonts w:ascii="Times New Roman" w:hAnsi="Times New Roman" w:cs="Times New Roman"/>
          <w:sz w:val="24"/>
          <w:szCs w:val="24"/>
        </w:rPr>
        <w:t xml:space="preserve"> учебный план предметами на базовом или углубленном уровне или увелич</w:t>
      </w:r>
      <w:r w:rsidR="00C25588">
        <w:rPr>
          <w:rFonts w:ascii="Times New Roman" w:hAnsi="Times New Roman" w:cs="Times New Roman"/>
          <w:sz w:val="24"/>
          <w:szCs w:val="24"/>
        </w:rPr>
        <w:t>и</w:t>
      </w:r>
      <w:r w:rsidR="00C25588" w:rsidRPr="00C25588">
        <w:rPr>
          <w:rFonts w:ascii="Times New Roman" w:hAnsi="Times New Roman" w:cs="Times New Roman"/>
          <w:sz w:val="24"/>
          <w:szCs w:val="24"/>
        </w:rPr>
        <w:t>т</w:t>
      </w:r>
      <w:r w:rsidR="00C25588">
        <w:rPr>
          <w:rFonts w:ascii="Times New Roman" w:hAnsi="Times New Roman" w:cs="Times New Roman"/>
          <w:sz w:val="24"/>
          <w:szCs w:val="24"/>
        </w:rPr>
        <w:t>ь</w:t>
      </w:r>
      <w:r w:rsidR="00C25588" w:rsidRPr="00C25588">
        <w:rPr>
          <w:rFonts w:ascii="Times New Roman" w:hAnsi="Times New Roman" w:cs="Times New Roman"/>
          <w:sz w:val="24"/>
          <w:szCs w:val="24"/>
        </w:rPr>
        <w:t xml:space="preserve"> количество часов на изучение уже выбранных предметов</w:t>
      </w:r>
      <w:r w:rsidR="00C25588">
        <w:rPr>
          <w:rFonts w:ascii="Times New Roman" w:hAnsi="Times New Roman" w:cs="Times New Roman"/>
          <w:sz w:val="24"/>
          <w:szCs w:val="24"/>
        </w:rPr>
        <w:t>.</w:t>
      </w:r>
    </w:p>
    <w:p w:rsidR="00C25588" w:rsidRPr="00C25588" w:rsidRDefault="008053C7" w:rsidP="00C2558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588"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C25588" w:rsidRPr="00C25588">
        <w:rPr>
          <w:rFonts w:ascii="Times New Roman" w:hAnsi="Times New Roman" w:cs="Times New Roman"/>
          <w:b/>
          <w:sz w:val="24"/>
          <w:szCs w:val="24"/>
        </w:rPr>
        <w:t>Составление учебных планов для каждого профиля обучения</w:t>
      </w:r>
    </w:p>
    <w:p w:rsidR="008053C7" w:rsidRPr="000269D4" w:rsidRDefault="00C25588" w:rsidP="008053C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69D4">
        <w:rPr>
          <w:rFonts w:ascii="Times New Roman" w:hAnsi="Times New Roman" w:cs="Times New Roman"/>
          <w:sz w:val="24"/>
          <w:szCs w:val="24"/>
          <w:u w:val="single"/>
        </w:rPr>
        <w:t>Примеры учебных планов: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0C3A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изучения предметов  профилей 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20C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420C3A">
        <w:rPr>
          <w:rFonts w:ascii="Times New Roman" w:eastAsia="Calibri" w:hAnsi="Times New Roman" w:cs="Times New Roman"/>
          <w:b/>
          <w:sz w:val="24"/>
          <w:szCs w:val="24"/>
        </w:rPr>
        <w:t xml:space="preserve">  классов</w:t>
      </w:r>
      <w:proofErr w:type="gramEnd"/>
      <w:r w:rsidRPr="00420C3A">
        <w:rPr>
          <w:rFonts w:ascii="Times New Roman" w:eastAsia="Calibri" w:hAnsi="Times New Roman" w:cs="Times New Roman"/>
          <w:b/>
          <w:sz w:val="24"/>
          <w:szCs w:val="24"/>
        </w:rPr>
        <w:t xml:space="preserve">  (ФГОС)  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0C3A">
        <w:rPr>
          <w:rFonts w:ascii="Times New Roman" w:eastAsia="Calibri" w:hAnsi="Times New Roman" w:cs="Times New Roman"/>
          <w:b/>
          <w:sz w:val="24"/>
          <w:szCs w:val="24"/>
        </w:rPr>
        <w:t>на 2018-2019 учебный год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6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1701"/>
        <w:gridCol w:w="1276"/>
        <w:gridCol w:w="1276"/>
        <w:gridCol w:w="1134"/>
        <w:gridCol w:w="1276"/>
        <w:gridCol w:w="1275"/>
        <w:gridCol w:w="1134"/>
      </w:tblGrid>
      <w:tr w:rsidR="00C25588" w:rsidRPr="00420C3A" w:rsidTr="00C25588">
        <w:trPr>
          <w:trHeight w:val="353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3685" w:type="dxa"/>
            <w:gridSpan w:val="3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изучения предмета</w:t>
            </w:r>
          </w:p>
        </w:tc>
      </w:tr>
      <w:tr w:rsidR="00C25588" w:rsidRPr="00420C3A" w:rsidTr="00C25588">
        <w:trPr>
          <w:trHeight w:val="276"/>
        </w:trPr>
        <w:tc>
          <w:tcPr>
            <w:tcW w:w="1688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класс, профили</w:t>
            </w:r>
          </w:p>
        </w:tc>
        <w:tc>
          <w:tcPr>
            <w:tcW w:w="3685" w:type="dxa"/>
            <w:gridSpan w:val="3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XI </w:t>
            </w: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класс, профили</w:t>
            </w:r>
          </w:p>
        </w:tc>
      </w:tr>
      <w:tr w:rsidR="00C25588" w:rsidRPr="00420C3A" w:rsidTr="00C25588">
        <w:trPr>
          <w:trHeight w:val="330"/>
        </w:trPr>
        <w:tc>
          <w:tcPr>
            <w:tcW w:w="1688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1275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естественнонаучный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</w:t>
            </w:r>
          </w:p>
        </w:tc>
      </w:tr>
      <w:tr w:rsidR="00C25588" w:rsidRPr="00420C3A" w:rsidTr="00C25588">
        <w:tc>
          <w:tcPr>
            <w:tcW w:w="1688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</w:rPr>
              <w:t>Углубленный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</w:t>
            </w: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C25588" w:rsidRPr="00420C3A" w:rsidTr="00C25588">
        <w:tc>
          <w:tcPr>
            <w:tcW w:w="168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25588" w:rsidRPr="00420C3A" w:rsidRDefault="00C25588" w:rsidP="00C255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25588" w:rsidRPr="00420C3A" w:rsidRDefault="00C25588" w:rsidP="00C25588">
      <w:pPr>
        <w:rPr>
          <w:rFonts w:ascii="Times New Roman" w:eastAsia="Calibri" w:hAnsi="Times New Roman" w:cs="Times New Roman"/>
          <w:sz w:val="24"/>
          <w:szCs w:val="24"/>
        </w:rPr>
      </w:pP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0C3A">
        <w:rPr>
          <w:rFonts w:ascii="Times New Roman" w:eastAsia="Calibri" w:hAnsi="Times New Roman" w:cs="Times New Roman"/>
          <w:b/>
          <w:sz w:val="24"/>
          <w:szCs w:val="24"/>
        </w:rPr>
        <w:t xml:space="preserve">Годовой учебный план профилей  </w:t>
      </w:r>
      <w:r w:rsidRPr="00420C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420C3A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 (ФГОС)  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0C3A">
        <w:rPr>
          <w:rFonts w:ascii="Times New Roman" w:eastAsia="Calibri" w:hAnsi="Times New Roman" w:cs="Times New Roman"/>
          <w:b/>
          <w:sz w:val="24"/>
          <w:szCs w:val="24"/>
        </w:rPr>
        <w:t>на 2018-2019 учебный год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8"/>
        <w:gridCol w:w="841"/>
        <w:gridCol w:w="96"/>
        <w:gridCol w:w="6"/>
        <w:gridCol w:w="749"/>
        <w:gridCol w:w="859"/>
        <w:gridCol w:w="852"/>
        <w:gridCol w:w="7"/>
        <w:gridCol w:w="843"/>
        <w:gridCol w:w="7"/>
        <w:gridCol w:w="848"/>
        <w:gridCol w:w="7"/>
        <w:gridCol w:w="829"/>
        <w:gridCol w:w="851"/>
        <w:gridCol w:w="858"/>
        <w:gridCol w:w="12"/>
      </w:tblGrid>
      <w:tr w:rsidR="00C25588" w:rsidRPr="00420C3A" w:rsidTr="00C25588">
        <w:trPr>
          <w:gridAfter w:val="1"/>
          <w:wAfter w:w="12" w:type="dxa"/>
          <w:trHeight w:val="35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ind w:left="147" w:hanging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2557" w:type="dxa"/>
            <w:gridSpan w:val="5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2545" w:type="dxa"/>
            <w:gridSpan w:val="4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за два года </w:t>
            </w:r>
          </w:p>
        </w:tc>
      </w:tr>
      <w:tr w:rsidR="00C25588" w:rsidRPr="00420C3A" w:rsidTr="00C25588">
        <w:trPr>
          <w:gridAfter w:val="1"/>
          <w:wAfter w:w="12" w:type="dxa"/>
          <w:trHeight w:val="276"/>
        </w:trPr>
        <w:tc>
          <w:tcPr>
            <w:tcW w:w="1560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</w:tr>
      <w:tr w:rsidR="00C25588" w:rsidRPr="00420C3A" w:rsidTr="00C25588">
        <w:trPr>
          <w:gridAfter w:val="1"/>
          <w:wAfter w:w="12" w:type="dxa"/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технологический профиль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естественно-научный профиль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 профиль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технологический профиль</w:t>
            </w:r>
          </w:p>
        </w:tc>
        <w:tc>
          <w:tcPr>
            <w:tcW w:w="850" w:type="dxa"/>
            <w:gridSpan w:val="2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естественно-научный профиль</w:t>
            </w:r>
          </w:p>
        </w:tc>
        <w:tc>
          <w:tcPr>
            <w:tcW w:w="855" w:type="dxa"/>
            <w:gridSpan w:val="2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 профиль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технологический профиль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естественно-научный профиль</w:t>
            </w:r>
          </w:p>
        </w:tc>
        <w:tc>
          <w:tcPr>
            <w:tcW w:w="858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C3A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 профиль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0781" w:type="dxa"/>
            <w:gridSpan w:val="16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84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4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6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4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4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6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0781" w:type="dxa"/>
            <w:gridSpan w:val="16"/>
            <w:shd w:val="clear" w:color="auto" w:fill="FFFFFF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 шестидневной учебной неделе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  <w:p w:rsidR="00C25588" w:rsidRPr="00420C3A" w:rsidRDefault="00C25588" w:rsidP="00C25588">
            <w:pPr>
              <w:tabs>
                <w:tab w:val="left" w:pos="495"/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5588" w:rsidRPr="00420C3A" w:rsidTr="00C25588">
        <w:tc>
          <w:tcPr>
            <w:tcW w:w="10793" w:type="dxa"/>
            <w:gridSpan w:val="17"/>
            <w:shd w:val="clear" w:color="auto" w:fill="FFFFFF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Курсы по выбору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</w:t>
            </w:r>
          </w:p>
        </w:tc>
        <w:tc>
          <w:tcPr>
            <w:tcW w:w="84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36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578</w:t>
            </w:r>
          </w:p>
        </w:tc>
      </w:tr>
      <w:tr w:rsidR="00C25588" w:rsidRPr="00420C3A" w:rsidTr="00C25588">
        <w:trPr>
          <w:gridAfter w:val="1"/>
          <w:wAfter w:w="12" w:type="dxa"/>
          <w:trHeight w:val="310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составе класса</w:t>
            </w: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1734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2516</w:t>
            </w:r>
          </w:p>
        </w:tc>
      </w:tr>
      <w:tr w:rsidR="00C25588" w:rsidRPr="00420C3A" w:rsidTr="00C25588">
        <w:trPr>
          <w:gridAfter w:val="1"/>
          <w:wAfter w:w="12" w:type="dxa"/>
          <w:trHeight w:val="579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профильных группах</w:t>
            </w:r>
          </w:p>
        </w:tc>
        <w:tc>
          <w:tcPr>
            <w:tcW w:w="937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755" w:type="dxa"/>
            <w:gridSpan w:val="2"/>
            <w:shd w:val="clear" w:color="auto" w:fill="auto"/>
          </w:tcPr>
          <w:p w:rsidR="00C25588" w:rsidRPr="00420C3A" w:rsidRDefault="00C25588" w:rsidP="00C2558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1564</w:t>
            </w:r>
          </w:p>
        </w:tc>
      </w:tr>
      <w:tr w:rsidR="00C25588" w:rsidRPr="00420C3A" w:rsidTr="00C25588">
        <w:trPr>
          <w:gridAfter w:val="1"/>
          <w:wAfter w:w="12" w:type="dxa"/>
          <w:trHeight w:val="222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43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74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859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850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82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2516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2516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4080</w:t>
            </w:r>
          </w:p>
        </w:tc>
      </w:tr>
      <w:tr w:rsidR="00C25588" w:rsidRPr="00420C3A" w:rsidTr="00C25588">
        <w:trPr>
          <w:gridAfter w:val="1"/>
          <w:wAfter w:w="12" w:type="dxa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0C3A">
              <w:rPr>
                <w:rFonts w:ascii="Times New Roman" w:eastAsia="Calibri" w:hAnsi="Times New Roman" w:cs="Times New Roman"/>
                <w:sz w:val="23"/>
                <w:szCs w:val="23"/>
              </w:rPr>
              <w:t>Внеурочная деятельность</w:t>
            </w:r>
          </w:p>
        </w:tc>
        <w:tc>
          <w:tcPr>
            <w:tcW w:w="1568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shd w:val="clear" w:color="auto" w:fill="auto"/>
          </w:tcPr>
          <w:p w:rsidR="00C25588" w:rsidRPr="00420C3A" w:rsidRDefault="00C25588" w:rsidP="00C2558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до 350</w:t>
            </w:r>
          </w:p>
        </w:tc>
        <w:tc>
          <w:tcPr>
            <w:tcW w:w="859" w:type="dxa"/>
            <w:shd w:val="clear" w:color="auto" w:fill="auto"/>
          </w:tcPr>
          <w:p w:rsidR="00C25588" w:rsidRPr="00420C3A" w:rsidRDefault="00C25588" w:rsidP="00C2558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до 350</w:t>
            </w:r>
          </w:p>
        </w:tc>
        <w:tc>
          <w:tcPr>
            <w:tcW w:w="1702" w:type="dxa"/>
            <w:gridSpan w:val="3"/>
            <w:shd w:val="clear" w:color="auto" w:fill="DDD9C3"/>
          </w:tcPr>
          <w:p w:rsidR="00C25588" w:rsidRPr="00420C3A" w:rsidRDefault="00C25588" w:rsidP="00C2558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до 350</w:t>
            </w:r>
          </w:p>
        </w:tc>
        <w:tc>
          <w:tcPr>
            <w:tcW w:w="855" w:type="dxa"/>
            <w:gridSpan w:val="2"/>
            <w:shd w:val="clear" w:color="auto" w:fill="DDD9C3"/>
          </w:tcPr>
          <w:p w:rsidR="00C25588" w:rsidRPr="00420C3A" w:rsidRDefault="00C25588" w:rsidP="00C2558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до 350</w:t>
            </w:r>
          </w:p>
        </w:tc>
        <w:tc>
          <w:tcPr>
            <w:tcW w:w="1687" w:type="dxa"/>
            <w:gridSpan w:val="3"/>
            <w:shd w:val="clear" w:color="auto" w:fill="DDD9C3"/>
          </w:tcPr>
          <w:p w:rsidR="00C25588" w:rsidRPr="00420C3A" w:rsidRDefault="00C25588" w:rsidP="00C255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700</w:t>
            </w:r>
          </w:p>
        </w:tc>
        <w:tc>
          <w:tcPr>
            <w:tcW w:w="858" w:type="dxa"/>
            <w:shd w:val="clear" w:color="auto" w:fill="DDD9C3"/>
          </w:tcPr>
          <w:p w:rsidR="00C25588" w:rsidRPr="00420C3A" w:rsidRDefault="00C25588" w:rsidP="00C255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700</w:t>
            </w:r>
          </w:p>
        </w:tc>
      </w:tr>
    </w:tbl>
    <w:p w:rsidR="00C25588" w:rsidRPr="00420C3A" w:rsidRDefault="00C25588" w:rsidP="00C25588">
      <w:pPr>
        <w:rPr>
          <w:rFonts w:ascii="Calibri" w:eastAsia="Times New Roman" w:hAnsi="Calibri" w:cs="Times New Roman"/>
          <w:lang w:eastAsia="ru-RU"/>
        </w:rPr>
      </w:pPr>
      <w:r w:rsidRPr="00420C3A">
        <w:rPr>
          <w:rFonts w:ascii="Calibri" w:eastAsia="Times New Roman" w:hAnsi="Calibri" w:cs="Times New Roman"/>
          <w:lang w:eastAsia="ru-RU"/>
        </w:rPr>
        <w:t xml:space="preserve"> 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0C3A">
        <w:rPr>
          <w:rFonts w:ascii="Times New Roman" w:eastAsia="Calibri" w:hAnsi="Times New Roman" w:cs="Times New Roman"/>
          <w:b/>
          <w:sz w:val="24"/>
          <w:szCs w:val="24"/>
        </w:rPr>
        <w:t>Недельный учебный план профилей Х классов (ФГОС)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0C3A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учебный год </w:t>
      </w:r>
    </w:p>
    <w:p w:rsidR="00C25588" w:rsidRPr="00420C3A" w:rsidRDefault="00C25588" w:rsidP="00C2558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851"/>
        <w:gridCol w:w="850"/>
        <w:gridCol w:w="851"/>
        <w:gridCol w:w="850"/>
        <w:gridCol w:w="852"/>
        <w:gridCol w:w="849"/>
        <w:gridCol w:w="850"/>
        <w:gridCol w:w="851"/>
        <w:gridCol w:w="851"/>
      </w:tblGrid>
      <w:tr w:rsidR="00C25588" w:rsidRPr="00420C3A" w:rsidTr="00C25588">
        <w:trPr>
          <w:trHeight w:val="27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1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2" w:type="dxa"/>
            <w:gridSpan w:val="3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часов за два года </w:t>
            </w:r>
          </w:p>
        </w:tc>
      </w:tr>
      <w:tr w:rsidR="00C25588" w:rsidRPr="00420C3A" w:rsidTr="00C25588">
        <w:trPr>
          <w:trHeight w:val="343"/>
        </w:trPr>
        <w:tc>
          <w:tcPr>
            <w:tcW w:w="1560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 М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 М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</w:tr>
      <w:tr w:rsidR="00C25588" w:rsidRPr="00420C3A" w:rsidTr="00C25588">
        <w:trPr>
          <w:trHeight w:val="343"/>
        </w:trPr>
        <w:tc>
          <w:tcPr>
            <w:tcW w:w="1560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технологический профиль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естествен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но-научный профиль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 xml:space="preserve">универсальный профиль 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технологический профиль</w:t>
            </w:r>
          </w:p>
        </w:tc>
        <w:tc>
          <w:tcPr>
            <w:tcW w:w="852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естествен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но-научный профиль</w:t>
            </w:r>
          </w:p>
        </w:tc>
        <w:tc>
          <w:tcPr>
            <w:tcW w:w="849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 xml:space="preserve">универсальный профиль 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технологический профиль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естествен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>но-научный профиль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0C3A">
              <w:rPr>
                <w:rFonts w:ascii="Times New Roman" w:eastAsia="Calibri" w:hAnsi="Times New Roman" w:cs="Times New Roman"/>
              </w:rPr>
              <w:t xml:space="preserve">универсальный профиль </w:t>
            </w:r>
          </w:p>
        </w:tc>
      </w:tr>
      <w:tr w:rsidR="00C25588" w:rsidRPr="00420C3A" w:rsidTr="00C25588">
        <w:tc>
          <w:tcPr>
            <w:tcW w:w="10774" w:type="dxa"/>
            <w:gridSpan w:val="11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C25588" w:rsidRPr="00420C3A" w:rsidTr="00C25588"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5588" w:rsidRPr="00420C3A" w:rsidTr="00C25588"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5588" w:rsidRPr="00420C3A" w:rsidTr="00C25588"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(включая </w:t>
            </w: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экономику и право)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5588" w:rsidRPr="00420C3A" w:rsidTr="00C25588"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Естественные науки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rPr>
          <w:trHeight w:val="374"/>
        </w:trPr>
        <w:tc>
          <w:tcPr>
            <w:tcW w:w="10774" w:type="dxa"/>
            <w:gridSpan w:val="11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 шестидневной учебной неделе</w:t>
            </w:r>
          </w:p>
        </w:tc>
      </w:tr>
      <w:tr w:rsidR="00C25588" w:rsidRPr="00420C3A" w:rsidTr="00C25588">
        <w:trPr>
          <w:trHeight w:val="374"/>
        </w:trPr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0774" w:type="dxa"/>
            <w:gridSpan w:val="11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Элективные курсы</w:t>
            </w:r>
          </w:p>
        </w:tc>
      </w:tr>
      <w:tr w:rsidR="00C25588" w:rsidRPr="00420C3A" w:rsidTr="00C25588"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практика написания сочинения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комбинированных и нестандартных задач по химии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Математика: избранные вопросы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Современная грамматика английского языка для подготовки к </w:t>
            </w: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ЕГЭ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актуальных правовых вопросов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изучения обществознания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588" w:rsidRPr="00420C3A" w:rsidTr="00C25588"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25588" w:rsidRPr="00420C3A" w:rsidTr="00C25588">
        <w:trPr>
          <w:trHeight w:val="355"/>
        </w:trPr>
        <w:tc>
          <w:tcPr>
            <w:tcW w:w="1560" w:type="dxa"/>
            <w:vMerge w:val="restart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 6-тидневной недельной нагрузке)</w:t>
            </w: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составе класса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2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C25588" w:rsidRPr="00420C3A" w:rsidTr="00C25588">
        <w:trPr>
          <w:trHeight w:val="410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профильных группах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9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25588" w:rsidRPr="00420C3A" w:rsidTr="00C25588">
        <w:trPr>
          <w:trHeight w:val="609"/>
        </w:trPr>
        <w:tc>
          <w:tcPr>
            <w:tcW w:w="1560" w:type="dxa"/>
            <w:vMerge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551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552" w:type="dxa"/>
            <w:gridSpan w:val="3"/>
            <w:shd w:val="clear" w:color="auto" w:fill="DDD9C3"/>
          </w:tcPr>
          <w:p w:rsidR="00C25588" w:rsidRPr="00420C3A" w:rsidRDefault="00C25588" w:rsidP="00C25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C25588" w:rsidRPr="00420C3A" w:rsidRDefault="00C25588" w:rsidP="00C2558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69D4" w:rsidRDefault="000269D4" w:rsidP="000269D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5. Написание пояснительной записки, </w:t>
      </w:r>
      <w:r w:rsidRPr="00C255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проверка, </w:t>
      </w:r>
      <w:r w:rsidRPr="00C25588">
        <w:rPr>
          <w:rFonts w:ascii="Times New Roman" w:hAnsi="Times New Roman" w:cs="Times New Roman"/>
          <w:b/>
          <w:sz w:val="24"/>
          <w:szCs w:val="24"/>
        </w:rPr>
        <w:t>утверждение и размещение в организационном разделе ООП СОО</w:t>
      </w:r>
    </w:p>
    <w:p w:rsidR="000269D4" w:rsidRPr="000269D4" w:rsidRDefault="000269D4" w:rsidP="000269D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9D4">
        <w:rPr>
          <w:rFonts w:ascii="Times New Roman" w:hAnsi="Times New Roman" w:cs="Times New Roman"/>
          <w:sz w:val="24"/>
          <w:szCs w:val="24"/>
        </w:rPr>
        <w:t>Титульный лист (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0269D4">
        <w:rPr>
          <w:rFonts w:ascii="Times New Roman" w:hAnsi="Times New Roman" w:cs="Times New Roman"/>
          <w:sz w:val="24"/>
          <w:szCs w:val="24"/>
        </w:rPr>
        <w:t>принимается коллегиальным органом управления и утверждается приказом директора школы)</w:t>
      </w:r>
    </w:p>
    <w:p w:rsidR="000269D4" w:rsidRDefault="000269D4" w:rsidP="000269D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9D4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(содержит ссылки на нормативные документы, режим организации занятий, профили обучения,  деление на группы, варианты таблиц с учебными планами профилей, перечни курсов по выбору и т.д.)</w:t>
      </w:r>
    </w:p>
    <w:p w:rsidR="000269D4" w:rsidRDefault="000269D4" w:rsidP="000269D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является самостоятельным локальным нормативным актом и частью ООП СОО</w:t>
      </w:r>
    </w:p>
    <w:p w:rsidR="00C24BBC" w:rsidRDefault="00C24BBC" w:rsidP="000269D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BBC">
        <w:rPr>
          <w:rFonts w:ascii="Times New Roman" w:hAnsi="Times New Roman" w:cs="Times New Roman"/>
          <w:sz w:val="24"/>
          <w:szCs w:val="24"/>
        </w:rPr>
        <w:t>В учебном плане могут быть также отражены различные формы организации учебных занятий, формы промежуточной аттестации в соответствии с методическими системами и образовательными технологиями, используемыми образовательной организацией.</w:t>
      </w:r>
    </w:p>
    <w:p w:rsidR="000269D4" w:rsidRPr="000269D4" w:rsidRDefault="000269D4" w:rsidP="000269D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9D4">
        <w:rPr>
          <w:rFonts w:ascii="Times New Roman" w:hAnsi="Times New Roman" w:cs="Times New Roman"/>
          <w:b/>
          <w:sz w:val="24"/>
          <w:szCs w:val="24"/>
        </w:rPr>
        <w:t>Шаг 6. Разработка организационных механизмов реализации УП</w:t>
      </w:r>
    </w:p>
    <w:p w:rsidR="00C25588" w:rsidRDefault="000051EE" w:rsidP="000051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Предусмотреть линейные и нелинейные форм организации образовательной деятельности.</w:t>
      </w:r>
    </w:p>
    <w:p w:rsidR="000051EE" w:rsidRPr="00420C3A" w:rsidRDefault="000051EE" w:rsidP="000051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r w:rsidRPr="00420C3A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  </w:t>
      </w:r>
      <w:r w:rsidRPr="00420C3A">
        <w:rPr>
          <w:rFonts w:ascii="Times New Roman" w:eastAsia="Calibri" w:hAnsi="Times New Roman" w:cs="Times New Roman"/>
          <w:b/>
          <w:sz w:val="24"/>
          <w:szCs w:val="24"/>
        </w:rPr>
        <w:t>технологического и естественнонаучного профилей</w:t>
      </w:r>
      <w:r w:rsidRPr="00420C3A">
        <w:rPr>
          <w:rFonts w:ascii="Times New Roman" w:eastAsia="Calibri" w:hAnsi="Times New Roman" w:cs="Times New Roman"/>
          <w:sz w:val="24"/>
          <w:szCs w:val="24"/>
        </w:rPr>
        <w:t xml:space="preserve"> по предметам  русский язык, литература, история, обществознание (включая экономику и право) география,  алгебра и начала математического анализа, геометрия, астрономия, физическая культура и основы безопасности и жизнедеятельности организуется в составе одного класса;  по предметам,   изучаемым на углубленном уровне -  по профильным группам.</w:t>
      </w:r>
    </w:p>
    <w:p w:rsidR="000051EE" w:rsidRPr="00420C3A" w:rsidRDefault="000051EE" w:rsidP="000051E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C3A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 универсального профиля  организуется в составе одного класса.</w:t>
      </w:r>
    </w:p>
    <w:p w:rsidR="000051EE" w:rsidRDefault="000051EE" w:rsidP="000051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предусматривает 1 час в неделю на организацию теоретической подготовки и работу в группах (это необходимо учесть при проектировании рабочей программы данного курса)</w:t>
      </w:r>
    </w:p>
    <w:p w:rsidR="000051EE" w:rsidRPr="000051EE" w:rsidRDefault="000051EE" w:rsidP="000051EE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51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 обучении по ИП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51EE">
        <w:rPr>
          <w:rFonts w:ascii="Times New Roman" w:hAnsi="Times New Roman" w:cs="Times New Roman"/>
          <w:sz w:val="24"/>
          <w:szCs w:val="24"/>
        </w:rPr>
        <w:t>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0051EE" w:rsidRDefault="000051EE" w:rsidP="000051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1EE">
        <w:rPr>
          <w:rFonts w:ascii="Times New Roman" w:hAnsi="Times New Roman" w:cs="Times New Roman"/>
          <w:sz w:val="24"/>
          <w:szCs w:val="24"/>
        </w:rPr>
        <w:t xml:space="preserve">Если учебный предмет изучается в рамках самостоятельной работы обучающихся, </w:t>
      </w:r>
      <w:r w:rsidRPr="000051EE">
        <w:rPr>
          <w:rFonts w:ascii="Times New Roman" w:hAnsi="Times New Roman" w:cs="Times New Roman"/>
          <w:sz w:val="24"/>
          <w:szCs w:val="24"/>
        </w:rPr>
        <w:br/>
        <w:t>в годовом учебном плане образовательной организации должны быть предусмотрены часы для проведения промежуточной и(или) итоговой аттестации обучающихся.</w:t>
      </w:r>
    </w:p>
    <w:p w:rsidR="009E32C3" w:rsidRPr="009E32C3" w:rsidRDefault="009E32C3" w:rsidP="009E32C3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Предусмотреть формы организации внеурочной деятельности обучающихся в старшей школе. </w:t>
      </w:r>
      <w:r>
        <w:rPr>
          <w:rFonts w:ascii="Times New Roman" w:hAnsi="Times New Roman" w:cs="Times New Roman"/>
          <w:sz w:val="24"/>
          <w:szCs w:val="24"/>
        </w:rPr>
        <w:t xml:space="preserve">В нашем опыте часы внеурочной деятельности использовались на  организацию работы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индивидуальным проектом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51EE" w:rsidRPr="00C24BBC" w:rsidRDefault="000051EE" w:rsidP="000051EE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1EE">
        <w:rPr>
          <w:rFonts w:ascii="Times New Roman" w:hAnsi="Times New Roman" w:cs="Times New Roman"/>
          <w:b/>
          <w:sz w:val="24"/>
          <w:szCs w:val="24"/>
        </w:rPr>
        <w:t>Предусмотреть возможности проектирования ИОМ обучающихся, имеющих высокий уровень мотивации и готовности к самостоятельной работе</w:t>
      </w:r>
      <w:r w:rsidR="00127D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7D76">
        <w:rPr>
          <w:rFonts w:ascii="Times New Roman" w:hAnsi="Times New Roman" w:cs="Times New Roman"/>
          <w:sz w:val="24"/>
          <w:szCs w:val="24"/>
        </w:rPr>
        <w:t>В нашем опыте на основе карты образовательных возможностей проектируется расширенный вариант профильного ИОМ с привлечением ресурсов партнеров.</w:t>
      </w:r>
    </w:p>
    <w:p w:rsidR="00C24BBC" w:rsidRDefault="00C24BBC" w:rsidP="000051EE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BBC">
        <w:rPr>
          <w:rFonts w:ascii="Times New Roman" w:hAnsi="Times New Roman" w:cs="Times New Roman"/>
          <w:b/>
          <w:sz w:val="24"/>
          <w:szCs w:val="24"/>
        </w:rPr>
        <w:t>При проектировании учебного плана профиля следует учитывать, что профиль является способом введения обучающихся в ту или иную общественно-производственную практику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24B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24BBC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(согласно примерной ООП СОО) </w:t>
      </w:r>
      <w:r w:rsidRPr="00C24BBC">
        <w:rPr>
          <w:rFonts w:ascii="Times New Roman" w:hAnsi="Times New Roman" w:cs="Times New Roman"/>
          <w:sz w:val="24"/>
          <w:szCs w:val="24"/>
        </w:rPr>
        <w:t xml:space="preserve">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 </w:t>
      </w:r>
      <w:r w:rsidRPr="00C24BBC">
        <w:rPr>
          <w:rFonts w:ascii="Times New Roman" w:hAnsi="Times New Roman" w:cs="Times New Roman"/>
          <w:b/>
          <w:sz w:val="24"/>
          <w:szCs w:val="24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</w:t>
      </w:r>
      <w:proofErr w:type="gramStart"/>
      <w:r w:rsidRPr="00C24BBC">
        <w:rPr>
          <w:rFonts w:ascii="Times New Roman" w:hAnsi="Times New Roman" w:cs="Times New Roman"/>
          <w:b/>
          <w:sz w:val="24"/>
          <w:szCs w:val="24"/>
        </w:rPr>
        <w:t>обучающихся</w:t>
      </w:r>
      <w:bookmarkStart w:id="0" w:name="_GoBack"/>
      <w:bookmarkEnd w:id="0"/>
      <w:proofErr w:type="gramEnd"/>
      <w:r w:rsidR="00E93FD7">
        <w:rPr>
          <w:rFonts w:ascii="Times New Roman" w:hAnsi="Times New Roman" w:cs="Times New Roman"/>
          <w:b/>
          <w:sz w:val="24"/>
          <w:szCs w:val="24"/>
        </w:rPr>
        <w:t>.</w:t>
      </w:r>
    </w:p>
    <w:p w:rsidR="00E93FD7" w:rsidRPr="00C24BBC" w:rsidRDefault="00E93FD7" w:rsidP="00E93FD7">
      <w:pPr>
        <w:pStyle w:val="a3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93FD7" w:rsidRPr="00C24BBC" w:rsidSect="0004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E36"/>
    <w:multiLevelType w:val="hybridMultilevel"/>
    <w:tmpl w:val="76D09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441D"/>
    <w:multiLevelType w:val="hybridMultilevel"/>
    <w:tmpl w:val="A1C8D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F1797"/>
    <w:multiLevelType w:val="hybridMultilevel"/>
    <w:tmpl w:val="26E6A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7759"/>
    <w:multiLevelType w:val="hybridMultilevel"/>
    <w:tmpl w:val="DB46A6C4"/>
    <w:lvl w:ilvl="0" w:tplc="C64019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6688D"/>
    <w:multiLevelType w:val="hybridMultilevel"/>
    <w:tmpl w:val="4DA67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4A5A12"/>
    <w:multiLevelType w:val="hybridMultilevel"/>
    <w:tmpl w:val="6EF4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563DC"/>
    <w:multiLevelType w:val="hybridMultilevel"/>
    <w:tmpl w:val="5BE498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330D6"/>
    <w:multiLevelType w:val="hybridMultilevel"/>
    <w:tmpl w:val="62C8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B3AD8"/>
    <w:multiLevelType w:val="hybridMultilevel"/>
    <w:tmpl w:val="7C9CF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5B50E4C"/>
    <w:multiLevelType w:val="multilevel"/>
    <w:tmpl w:val="B6AC6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6FF2CEA"/>
    <w:multiLevelType w:val="hybridMultilevel"/>
    <w:tmpl w:val="AF42E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14861"/>
    <w:multiLevelType w:val="hybridMultilevel"/>
    <w:tmpl w:val="630C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98"/>
    <w:multiLevelType w:val="hybridMultilevel"/>
    <w:tmpl w:val="A184D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750"/>
    <w:rsid w:val="000051EE"/>
    <w:rsid w:val="000269D4"/>
    <w:rsid w:val="000406E5"/>
    <w:rsid w:val="0004764D"/>
    <w:rsid w:val="00127D76"/>
    <w:rsid w:val="00397BBE"/>
    <w:rsid w:val="005B36BE"/>
    <w:rsid w:val="0074598D"/>
    <w:rsid w:val="00791726"/>
    <w:rsid w:val="007C2088"/>
    <w:rsid w:val="008053C7"/>
    <w:rsid w:val="00815B78"/>
    <w:rsid w:val="00816354"/>
    <w:rsid w:val="009E32C3"/>
    <w:rsid w:val="00AB5D34"/>
    <w:rsid w:val="00C24BBC"/>
    <w:rsid w:val="00C25588"/>
    <w:rsid w:val="00C51A27"/>
    <w:rsid w:val="00D50E12"/>
    <w:rsid w:val="00E40750"/>
    <w:rsid w:val="00E93FD7"/>
    <w:rsid w:val="00FF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088"/>
    <w:pPr>
      <w:ind w:left="720"/>
      <w:contextualSpacing/>
    </w:pPr>
  </w:style>
  <w:style w:type="paragraph" w:customStyle="1" w:styleId="Heading">
    <w:name w:val="Heading"/>
    <w:rsid w:val="00047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Matina</dc:creator>
  <cp:keywords/>
  <dc:description/>
  <cp:lastModifiedBy>Admin</cp:lastModifiedBy>
  <cp:revision>2</cp:revision>
  <dcterms:created xsi:type="dcterms:W3CDTF">2019-05-06T17:12:00Z</dcterms:created>
  <dcterms:modified xsi:type="dcterms:W3CDTF">2019-05-06T17:12:00Z</dcterms:modified>
</cp:coreProperties>
</file>