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4E" w:rsidRPr="00603593" w:rsidRDefault="004F004E" w:rsidP="004F0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Toc434245161"/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>Государственное бюджетное образовательное учреждение</w:t>
      </w:r>
    </w:p>
    <w:p w:rsidR="004F004E" w:rsidRPr="00603593" w:rsidRDefault="004F004E" w:rsidP="004F0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>средняя общеобразовательная школа № 422</w:t>
      </w:r>
    </w:p>
    <w:p w:rsidR="004F004E" w:rsidRPr="00603593" w:rsidRDefault="004F004E" w:rsidP="004F004E">
      <w:pPr>
        <w:spacing w:after="408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sz w:val="36"/>
          <w:szCs w:val="28"/>
          <w:lang w:eastAsia="ru-RU"/>
        </w:rPr>
        <w:t>Кронштадтского района Санкт-Петербурга</w:t>
      </w:r>
    </w:p>
    <w:p w:rsidR="007B5CA4" w:rsidRDefault="004F004E" w:rsidP="007B5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Методические рекомендации для педагогов по органи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зации образовательных практик</w:t>
      </w:r>
    </w:p>
    <w:p w:rsidR="004F004E" w:rsidRPr="00603593" w:rsidRDefault="004F004E" w:rsidP="004F004E">
      <w:pPr>
        <w:spacing w:after="396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учащихся 9-11 классов</w:t>
      </w:r>
      <w:r w:rsidRPr="00603593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</w:p>
    <w:p w:rsidR="00017EF4" w:rsidRPr="004F004E" w:rsidRDefault="00017EF4" w:rsidP="00017EF4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4F004E">
        <w:rPr>
          <w:rFonts w:ascii="Times New Roman" w:eastAsia="Times New Roman" w:hAnsi="Times New Roman" w:cs="Times New Roman"/>
          <w:sz w:val="36"/>
          <w:szCs w:val="28"/>
          <w:lang w:eastAsia="ru-RU"/>
        </w:rPr>
        <w:t>Санкт-Петербург</w:t>
      </w:r>
    </w:p>
    <w:p w:rsidR="00017EF4" w:rsidRPr="004F004E" w:rsidRDefault="00017EF4" w:rsidP="00017EF4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4F004E">
        <w:rPr>
          <w:rFonts w:ascii="Times New Roman" w:eastAsia="Times New Roman" w:hAnsi="Times New Roman" w:cs="Times New Roman"/>
          <w:sz w:val="36"/>
          <w:szCs w:val="28"/>
          <w:lang w:eastAsia="ru-RU"/>
        </w:rPr>
        <w:t>201</w:t>
      </w:r>
      <w:r w:rsidR="004F004E" w:rsidRPr="004F004E">
        <w:rPr>
          <w:rFonts w:ascii="Times New Roman" w:eastAsia="Times New Roman" w:hAnsi="Times New Roman" w:cs="Times New Roman"/>
          <w:sz w:val="36"/>
          <w:szCs w:val="28"/>
          <w:lang w:eastAsia="ru-RU"/>
        </w:rPr>
        <w:t>9</w:t>
      </w:r>
    </w:p>
    <w:p w:rsidR="00017EF4" w:rsidRPr="00017EF4" w:rsidRDefault="00017EF4" w:rsidP="00017EF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17EF4" w:rsidRPr="004F004E" w:rsidRDefault="00017EF4" w:rsidP="00017EF4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1" w:name="_Toc517791939"/>
      <w:r w:rsidRPr="004F004E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lastRenderedPageBreak/>
        <w:t>Введение</w:t>
      </w:r>
      <w:bookmarkEnd w:id="0"/>
      <w:bookmarkEnd w:id="1"/>
    </w:p>
    <w:p w:rsidR="00545DC7" w:rsidRPr="00545DC7" w:rsidRDefault="00545DC7" w:rsidP="00545D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В практику образовательных учреждений внедряются идеи и методы индивидуализации, благодаря чему ученики получают возможность в условиях массовой школы обратиться к собственным смыслам жизнедеятельности (С. Д. Поляков, В. Д. </w:t>
      </w:r>
      <w:proofErr w:type="spellStart"/>
      <w:r w:rsidRPr="00545DC7">
        <w:rPr>
          <w:rFonts w:ascii="Times New Roman" w:eastAsia="Times New Roman" w:hAnsi="Times New Roman" w:cs="Times New Roman"/>
          <w:sz w:val="28"/>
          <w:szCs w:val="28"/>
        </w:rPr>
        <w:t>Шадриков</w:t>
      </w:r>
      <w:proofErr w:type="spellEnd"/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и др.). </w:t>
      </w:r>
      <w:r w:rsidR="005518E6">
        <w:rPr>
          <w:rFonts w:ascii="Times New Roman" w:eastAsia="Times New Roman" w:hAnsi="Times New Roman" w:cs="Times New Roman"/>
          <w:sz w:val="28"/>
          <w:szCs w:val="28"/>
        </w:rPr>
        <w:t>Индивидуализация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BF5" w:rsidRPr="00545DC7">
        <w:rPr>
          <w:rFonts w:ascii="Times New Roman" w:eastAsia="Times New Roman" w:hAnsi="Times New Roman" w:cs="Times New Roman"/>
          <w:sz w:val="28"/>
          <w:szCs w:val="28"/>
        </w:rPr>
        <w:t xml:space="preserve">учебного </w:t>
      </w:r>
      <w:r w:rsidR="00370BF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70BF5" w:rsidRPr="00545DC7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воспитательного процесса </w:t>
      </w:r>
      <w:r w:rsidR="005518E6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 xml:space="preserve">совместную 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>деятельност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B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при условии индивидуальности форм, целей и продуктов воспитания и обучения для каждого ребенка</w:t>
      </w:r>
      <w:r w:rsidR="00370BF5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прив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>т к общественной направленности образования в целом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C75E8" w:rsidRPr="007C75E8">
        <w:rPr>
          <w:rFonts w:ascii="Times New Roman" w:eastAsia="Times New Roman" w:hAnsi="Times New Roman" w:cs="Times New Roman"/>
          <w:sz w:val="28"/>
          <w:szCs w:val="28"/>
        </w:rPr>
        <w:t>Г.Н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75E8" w:rsidRPr="007C75E8">
        <w:rPr>
          <w:rFonts w:ascii="Times New Roman" w:eastAsia="Times New Roman" w:hAnsi="Times New Roman" w:cs="Times New Roman"/>
          <w:sz w:val="28"/>
          <w:szCs w:val="28"/>
        </w:rPr>
        <w:t xml:space="preserve"> Травников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Для этого образование должно быть направлено на продуктивную и реальную </w:t>
      </w:r>
      <w:r w:rsidR="00370BF5">
        <w:rPr>
          <w:rFonts w:ascii="Times New Roman" w:eastAsia="Times New Roman" w:hAnsi="Times New Roman" w:cs="Times New Roman"/>
          <w:sz w:val="28"/>
          <w:szCs w:val="28"/>
        </w:rPr>
        <w:t xml:space="preserve">профориентацию и </w:t>
      </w:r>
      <w:r w:rsidR="005518E6">
        <w:rPr>
          <w:rFonts w:ascii="Times New Roman" w:eastAsia="Times New Roman" w:hAnsi="Times New Roman" w:cs="Times New Roman"/>
          <w:sz w:val="28"/>
          <w:szCs w:val="28"/>
        </w:rPr>
        <w:t>социализацию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 учащегося.</w:t>
      </w:r>
    </w:p>
    <w:p w:rsidR="007C75E8" w:rsidRPr="007C75E8" w:rsidRDefault="00370BF5" w:rsidP="007C75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Индивидуализация образования</w:t>
      </w:r>
      <w:r w:rsidR="00545DC7" w:rsidRPr="00545DC7">
        <w:rPr>
          <w:rFonts w:ascii="Times New Roman" w:eastAsia="Times New Roman" w:hAnsi="Times New Roman" w:cs="Times New Roman"/>
          <w:sz w:val="28"/>
          <w:szCs w:val="28"/>
        </w:rPr>
        <w:t xml:space="preserve"> для самого человека </w:t>
      </w:r>
      <w:r w:rsidRPr="00545DC7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545DC7" w:rsidRPr="00545DC7">
        <w:rPr>
          <w:rFonts w:ascii="Times New Roman" w:eastAsia="Times New Roman" w:hAnsi="Times New Roman" w:cs="Times New Roman"/>
          <w:sz w:val="28"/>
          <w:szCs w:val="28"/>
        </w:rPr>
        <w:t xml:space="preserve">способом образования самого «Я» и его соотнесенности с </w:t>
      </w:r>
      <w:r>
        <w:rPr>
          <w:rFonts w:ascii="Times New Roman" w:eastAsia="Times New Roman" w:hAnsi="Times New Roman" w:cs="Times New Roman"/>
          <w:sz w:val="28"/>
          <w:szCs w:val="28"/>
        </w:rPr>
        <w:t>выбираемыми направлениями дальнейшего обучения и сферами профессиональной деятельности.</w:t>
      </w:r>
      <w:r w:rsidR="00545DC7" w:rsidRPr="00545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Реализация такого подхода</w:t>
      </w:r>
      <w:r w:rsidR="00545DC7" w:rsidRPr="00545DC7">
        <w:rPr>
          <w:rFonts w:ascii="Times New Roman" w:eastAsia="Times New Roman" w:hAnsi="Times New Roman" w:cs="Times New Roman"/>
          <w:sz w:val="28"/>
          <w:szCs w:val="28"/>
        </w:rPr>
        <w:t xml:space="preserve"> должна сочетать разнообразие педагогических ситуаций взаимодействия старшеклассников и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окружения</w:t>
      </w:r>
      <w:r w:rsidR="00545DC7" w:rsidRPr="00545DC7">
        <w:rPr>
          <w:rFonts w:ascii="Times New Roman" w:eastAsia="Times New Roman" w:hAnsi="Times New Roman" w:cs="Times New Roman"/>
          <w:sz w:val="28"/>
          <w:szCs w:val="28"/>
        </w:rPr>
        <w:t>. Проживание этих ситуаций позволяет ученикам познакомиться с социальными ожиданиями и понять адекватность самооценки, индивидуальных притязаний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5DC7" w:rsidRPr="00545DC7">
        <w:rPr>
          <w:rFonts w:ascii="Times New Roman" w:eastAsia="Times New Roman" w:hAnsi="Times New Roman" w:cs="Times New Roman"/>
          <w:sz w:val="28"/>
          <w:szCs w:val="28"/>
        </w:rPr>
        <w:t xml:space="preserve"> степени готовности к своему выбору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C75E8" w:rsidRPr="007C75E8">
        <w:rPr>
          <w:rFonts w:ascii="Times New Roman" w:eastAsia="Times New Roman" w:hAnsi="Times New Roman" w:cs="Times New Roman"/>
          <w:sz w:val="28"/>
          <w:szCs w:val="28"/>
        </w:rPr>
        <w:t>Г.Н</w:t>
      </w:r>
      <w:r w:rsidR="005F64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7C75E8" w:rsidRPr="007C75E8">
        <w:rPr>
          <w:rFonts w:ascii="Times New Roman" w:eastAsia="Times New Roman" w:hAnsi="Times New Roman" w:cs="Times New Roman"/>
          <w:sz w:val="28"/>
          <w:szCs w:val="28"/>
        </w:rPr>
        <w:t>равников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>)</w:t>
      </w:r>
      <w:r w:rsidR="00161A8E">
        <w:rPr>
          <w:rFonts w:ascii="Times New Roman" w:eastAsia="Times New Roman" w:hAnsi="Times New Roman" w:cs="Times New Roman"/>
          <w:sz w:val="28"/>
          <w:szCs w:val="28"/>
        </w:rPr>
        <w:t xml:space="preserve">, что способствует построению </w:t>
      </w:r>
      <w:r w:rsidR="00176336">
        <w:rPr>
          <w:rFonts w:ascii="Times New Roman" w:eastAsia="Times New Roman" w:hAnsi="Times New Roman" w:cs="Times New Roman"/>
          <w:sz w:val="28"/>
          <w:szCs w:val="28"/>
        </w:rPr>
        <w:t>адекватного индивидуального профессионального маршрута.</w:t>
      </w:r>
      <w:r w:rsidR="007C7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5CA4" w:rsidRPr="007B5CA4" w:rsidRDefault="007B5CA4" w:rsidP="007B5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CA4">
        <w:rPr>
          <w:rFonts w:ascii="Times New Roman" w:eastAsia="Times New Roman" w:hAnsi="Times New Roman" w:cs="Times New Roman"/>
          <w:sz w:val="28"/>
          <w:szCs w:val="28"/>
        </w:rPr>
        <w:t>Одним из направлений работы педагогического коллектива по изменению позиции учащихся в образовательном процессе является разработка и реализация системы учебных практик.</w:t>
      </w:r>
    </w:p>
    <w:p w:rsidR="007B5CA4" w:rsidRDefault="007B5CA4" w:rsidP="007B5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CA4">
        <w:rPr>
          <w:rFonts w:ascii="Times New Roman" w:eastAsia="Times New Roman" w:hAnsi="Times New Roman" w:cs="Times New Roman"/>
          <w:b/>
          <w:sz w:val="28"/>
          <w:szCs w:val="28"/>
        </w:rPr>
        <w:t>Учебная практика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 xml:space="preserve"> - специально организованная деятельность, направленная на 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</w:rPr>
        <w:t>ой,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>оммуникативн</w:t>
      </w:r>
      <w:r>
        <w:rPr>
          <w:rFonts w:ascii="Times New Roman" w:eastAsia="Times New Roman" w:hAnsi="Times New Roman" w:cs="Times New Roman"/>
          <w:sz w:val="28"/>
          <w:szCs w:val="28"/>
        </w:rPr>
        <w:t>ой,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общекультурной,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>чебно-познавательн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компетентностей.</w:t>
      </w:r>
    </w:p>
    <w:p w:rsidR="007B5CA4" w:rsidRPr="007B5CA4" w:rsidRDefault="007B5CA4" w:rsidP="007B5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успешной социализации учебные практики должны быть интегрированы с социальными практиками. </w:t>
      </w:r>
    </w:p>
    <w:p w:rsidR="007B5CA4" w:rsidRDefault="007B5CA4" w:rsidP="007B5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C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Социальная практика</w:t>
      </w:r>
      <w:r w:rsidRPr="007B5CA4">
        <w:rPr>
          <w:rFonts w:ascii="Times New Roman" w:eastAsia="Times New Roman" w:hAnsi="Times New Roman" w:cs="Times New Roman"/>
          <w:sz w:val="28"/>
          <w:szCs w:val="28"/>
        </w:rPr>
        <w:t xml:space="preserve"> - это организованный процесс освоения учащимися школы технологий успешного действия в различных жизненных ситуациях.</w:t>
      </w:r>
    </w:p>
    <w:p w:rsidR="007B5CA4" w:rsidRDefault="002D2D2A" w:rsidP="007C75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F6F17">
        <w:rPr>
          <w:rFonts w:ascii="Times New Roman" w:eastAsia="Times New Roman" w:hAnsi="Times New Roman" w:cs="Times New Roman"/>
          <w:sz w:val="28"/>
          <w:szCs w:val="28"/>
        </w:rPr>
        <w:t>ндивидуализация образовательного процесса с целью повышения уровня готовности обучающихся к профессиональному самоопределению происходит, в том числе, за счет организации системы мероприятий, реализуемых с привлечением ресурсов различных организаций – социальных партнеров</w:t>
      </w:r>
      <w:r w:rsidR="00285BE1">
        <w:rPr>
          <w:rFonts w:ascii="Times New Roman" w:eastAsia="Times New Roman" w:hAnsi="Times New Roman" w:cs="Times New Roman"/>
          <w:sz w:val="28"/>
          <w:szCs w:val="28"/>
        </w:rPr>
        <w:t xml:space="preserve"> через сочетание учебных и социальных практик. Такую интеграцию мы обозначили системой образовательных практик.</w:t>
      </w:r>
    </w:p>
    <w:p w:rsidR="007C75E8" w:rsidRPr="007C75E8" w:rsidRDefault="007C75E8" w:rsidP="007C75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5E8">
        <w:rPr>
          <w:rFonts w:ascii="Times New Roman" w:eastAsia="Times New Roman" w:hAnsi="Times New Roman" w:cs="Times New Roman"/>
          <w:sz w:val="28"/>
          <w:szCs w:val="28"/>
        </w:rPr>
        <w:t xml:space="preserve">Характерными чертами </w:t>
      </w:r>
      <w:r w:rsidRPr="007C75E8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практики</w:t>
      </w:r>
      <w:r w:rsidRPr="007C75E8">
        <w:rPr>
          <w:rFonts w:ascii="Times New Roman" w:eastAsia="Times New Roman" w:hAnsi="Times New Roman" w:cs="Times New Roman"/>
          <w:sz w:val="28"/>
          <w:szCs w:val="28"/>
        </w:rPr>
        <w:t xml:space="preserve"> сегодня является сочетание формального, неформального и </w:t>
      </w:r>
      <w:proofErr w:type="spellStart"/>
      <w:r w:rsidRPr="007C75E8">
        <w:rPr>
          <w:rFonts w:ascii="Times New Roman" w:eastAsia="Times New Roman" w:hAnsi="Times New Roman" w:cs="Times New Roman"/>
          <w:sz w:val="28"/>
          <w:szCs w:val="28"/>
        </w:rPr>
        <w:t>информального</w:t>
      </w:r>
      <w:proofErr w:type="spellEnd"/>
      <w:r w:rsidRPr="007C75E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</w:t>
      </w:r>
      <w:r w:rsidR="005F6402">
        <w:rPr>
          <w:rFonts w:ascii="Times New Roman" w:eastAsia="Times New Roman" w:hAnsi="Times New Roman" w:cs="Times New Roman"/>
          <w:sz w:val="28"/>
          <w:szCs w:val="28"/>
        </w:rPr>
        <w:t>интеграция</w:t>
      </w:r>
      <w:r w:rsidRPr="007C75E8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  <w:r w:rsidR="005F640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7C75E8"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мощно</w:t>
      </w:r>
      <w:r w:rsidR="005F64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C75E8">
        <w:rPr>
          <w:rFonts w:ascii="Times New Roman" w:eastAsia="Times New Roman" w:hAnsi="Times New Roman" w:cs="Times New Roman"/>
          <w:sz w:val="28"/>
          <w:szCs w:val="28"/>
        </w:rPr>
        <w:t xml:space="preserve"> влияние информационно-образовательного пространства на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(И.М.</w:t>
      </w:r>
      <w:r w:rsidR="00285BE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Осмоловская</w:t>
      </w:r>
      <w:proofErr w:type="spellEnd"/>
      <w:r w:rsidR="005F640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C75E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75E8" w:rsidRPr="007C75E8" w:rsidRDefault="002D2D2A" w:rsidP="007C75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 организуемые мероприятия, объединяющие образовательные возможности и ресурсы общеобразовательных организаций, системы дополнительного и профессионального образования, учреждений работодателей в системе образовательных практик, должны способствовать повышению уровня готовности обучающихся к профессиональному самоопределению, уровня мотивации к обучению и саморазвитию, к процессу адаптации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послешкольном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 в целом и на рынке труда,</w:t>
      </w:r>
      <w:r w:rsidRPr="002D2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частности.</w:t>
      </w:r>
      <w:r w:rsidRPr="002D2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образом, организация образовательных практик рассматривается как важный элемент профориентационной работы школы.</w:t>
      </w:r>
    </w:p>
    <w:p w:rsidR="00545DC7" w:rsidRPr="00545DC7" w:rsidRDefault="002D2D2A" w:rsidP="00545D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Именно 9 - 11 классы занимают в этом процессе особое место.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уровне предпрофильной подготовки (9 класс) целью всей профориентационной работы является выбор профиля дальнейшего обучения и/или сферы будущей профессиональной деятельности, а результатом предпрофильной подготовки должен стать выстроенный </w:t>
      </w:r>
      <w:r w:rsidR="00240C93">
        <w:rPr>
          <w:rFonts w:ascii="Times New Roman" w:eastAsia="Times New Roman" w:hAnsi="Times New Roman" w:cs="Times New Roman"/>
          <w:sz w:val="28"/>
          <w:szCs w:val="28"/>
        </w:rPr>
        <w:t xml:space="preserve">(основной или предварительный)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индивидуальный профессиональный маршрут</w:t>
      </w:r>
      <w:r w:rsidR="00240C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40C93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образовательных практик дает возможность </w:t>
      </w:r>
      <w:r w:rsidR="00FF7D67">
        <w:rPr>
          <w:rFonts w:ascii="Times New Roman" w:eastAsia="Times New Roman" w:hAnsi="Times New Roman" w:cs="Times New Roman"/>
          <w:sz w:val="28"/>
          <w:szCs w:val="28"/>
        </w:rPr>
        <w:t xml:space="preserve">получить </w:t>
      </w:r>
      <w:r w:rsidR="00FF7D67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необходимую информацию и приобрести опыт практической деятельности в различных сферах для построения индивидуального образовательного и профессионального маршрутов.</w:t>
      </w:r>
      <w:r w:rsidR="00240C93">
        <w:rPr>
          <w:rFonts w:ascii="Times New Roman" w:eastAsia="Times New Roman" w:hAnsi="Times New Roman" w:cs="Times New Roman"/>
          <w:sz w:val="28"/>
          <w:szCs w:val="28"/>
        </w:rPr>
        <w:t xml:space="preserve"> Учащиеся старшей школы (10-11 классы)</w:t>
      </w:r>
      <w:r w:rsidR="00FF7D67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образовательных практик получают возможность для формирования и развития</w:t>
      </w:r>
      <w:r w:rsidR="00CF15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7D67">
        <w:rPr>
          <w:rFonts w:ascii="Times New Roman" w:eastAsia="Times New Roman" w:hAnsi="Times New Roman" w:cs="Times New Roman"/>
          <w:sz w:val="28"/>
          <w:szCs w:val="28"/>
        </w:rPr>
        <w:t xml:space="preserve"> как общих компетенций, так и предпрофессиональных, что способствует уточнению основного индивидуального профессионального маршрута</w:t>
      </w:r>
      <w:r w:rsidR="00FF7D67" w:rsidRPr="00FF7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D67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CF15CC">
        <w:rPr>
          <w:rFonts w:ascii="Times New Roman" w:eastAsia="Times New Roman" w:hAnsi="Times New Roman" w:cs="Times New Roman"/>
          <w:sz w:val="28"/>
          <w:szCs w:val="28"/>
        </w:rPr>
        <w:t xml:space="preserve">построению </w:t>
      </w:r>
      <w:r w:rsidR="00FF7D67">
        <w:rPr>
          <w:rFonts w:ascii="Times New Roman" w:eastAsia="Times New Roman" w:hAnsi="Times New Roman" w:cs="Times New Roman"/>
          <w:sz w:val="28"/>
          <w:szCs w:val="28"/>
        </w:rPr>
        <w:t>запасного</w:t>
      </w:r>
      <w:r w:rsidR="00CF15CC">
        <w:rPr>
          <w:rFonts w:ascii="Times New Roman" w:eastAsia="Times New Roman" w:hAnsi="Times New Roman" w:cs="Times New Roman"/>
          <w:sz w:val="28"/>
          <w:szCs w:val="28"/>
        </w:rPr>
        <w:t xml:space="preserve"> варианта.</w:t>
      </w:r>
    </w:p>
    <w:p w:rsidR="00AC0449" w:rsidRPr="00157896" w:rsidRDefault="00AC0449" w:rsidP="00AC0449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2" w:name="_Toc517791941"/>
      <w:r w:rsidRPr="00157896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Нормативные документы</w:t>
      </w:r>
      <w:bookmarkEnd w:id="2"/>
    </w:p>
    <w:p w:rsidR="00AC0449" w:rsidRPr="00FE0CA6" w:rsidRDefault="00AC0449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и требования к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предпрофильной подготовки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>, в содержании ряда документов федер</w:t>
      </w:r>
      <w:r>
        <w:rPr>
          <w:rFonts w:ascii="Times New Roman" w:eastAsia="Times New Roman" w:hAnsi="Times New Roman" w:cs="Times New Roman"/>
          <w:sz w:val="28"/>
          <w:szCs w:val="28"/>
        </w:rPr>
        <w:t>ального и регионального уровней:</w:t>
      </w:r>
    </w:p>
    <w:p w:rsidR="00827B21" w:rsidRPr="009C7AB4" w:rsidRDefault="00827B21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</w:t>
      </w:r>
      <w:r w:rsidR="00827B21" w:rsidRPr="00827B21">
        <w:t xml:space="preserve"> 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>(для V-VIII классов образовательных организаций, а также для IX классов образовательных организаций, участвующих в апробации ФГОС основного общего образования 2018/2019 учебном году)</w:t>
      </w:r>
      <w:r w:rsidRPr="009C7A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31.12.2015 № 1577«О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(Зарегистрировано в Минюсте России 0</w:t>
      </w:r>
      <w:r w:rsidR="00827B21" w:rsidRPr="009C7AB4">
        <w:rPr>
          <w:rFonts w:ascii="Times New Roman" w:eastAsia="Times New Roman" w:hAnsi="Times New Roman" w:cs="Times New Roman"/>
          <w:sz w:val="28"/>
          <w:szCs w:val="28"/>
        </w:rPr>
        <w:t>2.02.2016 №40937);</w:t>
      </w:r>
    </w:p>
    <w:p w:rsidR="00827B21" w:rsidRPr="009C7AB4" w:rsidRDefault="00827B21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</w:t>
      </w:r>
      <w:r w:rsidRPr="009C7AB4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IX-XI (XII) классов);</w:t>
      </w:r>
    </w:p>
    <w:p w:rsidR="00762DC4" w:rsidRPr="009C7AB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 1312 (далее - ФБУП-2004);</w:t>
      </w:r>
    </w:p>
    <w:p w:rsidR="00762DC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 1015;</w:t>
      </w:r>
    </w:p>
    <w:p w:rsidR="00CF15CC" w:rsidRPr="00CF15CC" w:rsidRDefault="00CF15CC" w:rsidP="00CF15CC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5CC">
        <w:rPr>
          <w:rFonts w:ascii="Times New Roman" w:eastAsia="Times New Roman" w:hAnsi="Times New Roman" w:cs="Times New Roman"/>
          <w:sz w:val="28"/>
          <w:szCs w:val="28"/>
        </w:rPr>
        <w:t>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принятая 24.11.2018;</w:t>
      </w:r>
    </w:p>
    <w:p w:rsidR="00762DC4" w:rsidRPr="009C7AB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253;</w:t>
      </w:r>
    </w:p>
    <w:p w:rsidR="00762DC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09.06.2016 № 699;</w:t>
      </w:r>
    </w:p>
    <w:p w:rsidR="009A084D" w:rsidRPr="009C7AB4" w:rsidRDefault="009A084D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49">
        <w:rPr>
          <w:rFonts w:ascii="Times New Roman" w:eastAsia="Times New Roman" w:hAnsi="Times New Roman" w:cs="Times New Roman"/>
          <w:sz w:val="28"/>
          <w:szCs w:val="28"/>
        </w:rPr>
        <w:t>Концепци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94849">
        <w:rPr>
          <w:rFonts w:ascii="Times New Roman" w:eastAsia="Times New Roman" w:hAnsi="Times New Roman" w:cs="Times New Roman"/>
          <w:sz w:val="28"/>
          <w:szCs w:val="28"/>
        </w:rPr>
        <w:t xml:space="preserve"> профильного обучения</w:t>
      </w:r>
      <w:r w:rsidRPr="00E215AD">
        <w:t xml:space="preserve"> 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>на старшей ступени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215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одобренная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 xml:space="preserve"> на заседаниях Федерального координационного совета по общему образованию 24.04.2002 и 28.06.2002 </w:t>
      </w:r>
      <w:r>
        <w:rPr>
          <w:rFonts w:ascii="Times New Roman" w:eastAsia="Times New Roman" w:hAnsi="Times New Roman" w:cs="Times New Roman"/>
          <w:sz w:val="28"/>
          <w:szCs w:val="28"/>
        </w:rPr>
        <w:t>(д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 xml:space="preserve">оработана по отзывам, поступившим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субъектов Российской Федерации - 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t xml:space="preserve">май-июнь </w:t>
      </w:r>
      <w:r w:rsidRPr="00E215AD">
        <w:rPr>
          <w:rFonts w:ascii="Times New Roman" w:eastAsia="Times New Roman" w:hAnsi="Times New Roman" w:cs="Times New Roman"/>
          <w:sz w:val="28"/>
          <w:szCs w:val="28"/>
        </w:rPr>
        <w:lastRenderedPageBreak/>
        <w:t>2002, и результатам 2-ого Всероссийского совещания по пр</w:t>
      </w:r>
      <w:r>
        <w:rPr>
          <w:rFonts w:ascii="Times New Roman" w:eastAsia="Times New Roman" w:hAnsi="Times New Roman" w:cs="Times New Roman"/>
          <w:sz w:val="28"/>
          <w:szCs w:val="28"/>
        </w:rPr>
        <w:t>офильному обучению 28.06.2002);</w:t>
      </w:r>
    </w:p>
    <w:p w:rsidR="00AC0449" w:rsidRPr="009C7AB4" w:rsidRDefault="00762DC4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Российской Федерации от 29.12.2010 № 189 (далее - СанПиН 2.4.2.2821-10)</w:t>
      </w:r>
      <w:r w:rsidR="00AC0449" w:rsidRPr="009C7AB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13 мая 2013 г. № ИР-352/09 «О направлении программы развития воспитательной компоненты в общеобразовательных учреждениях»;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12 июля 2013 г. № 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Примерные основные образовательные программы начального общего и основного общего образования (программы размещены в Реестре примерных основных общеобразовательных программ: http://fgosreestr.ru/), одобренные Федеральным учебно-методическим объединением по общему образованию (протокол заседания от 08.04.2015 № 1/15);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 образовательной организации в части: учебный план образовательного учреждения;</w:t>
      </w:r>
    </w:p>
    <w:p w:rsidR="00AC0449" w:rsidRPr="009C7AB4" w:rsidRDefault="00AC0449" w:rsidP="009C7AB4">
      <w:pPr>
        <w:pStyle w:val="a9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Распоряжения и инструктивные письма региональных органов управления образования, где содержатся конкретные управленческие решения (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>Распоряжен</w:t>
      </w:r>
      <w:r w:rsidR="000C36EF">
        <w:rPr>
          <w:rFonts w:ascii="Times New Roman" w:eastAsia="Times New Roman" w:hAnsi="Times New Roman" w:cs="Times New Roman"/>
          <w:sz w:val="28"/>
          <w:szCs w:val="28"/>
        </w:rPr>
        <w:t>ие Комитета п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 xml:space="preserve">о образованию Санкт-Петербурга от </w:t>
      </w:r>
      <w:r w:rsidR="000C36EF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20.03.2019 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C36EF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796-р 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>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201</w:t>
      </w:r>
      <w:r w:rsidR="000C36EF">
        <w:rPr>
          <w:rFonts w:ascii="Times New Roman" w:eastAsia="Times New Roman" w:hAnsi="Times New Roman" w:cs="Times New Roman"/>
          <w:sz w:val="28"/>
          <w:szCs w:val="28"/>
        </w:rPr>
        <w:t>9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0C36E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 xml:space="preserve"> учебный год»; Инструктивно-методическое письмо Комитета по образованию Санкт-Петербурга </w:t>
      </w:r>
      <w:r w:rsidR="000C36EF" w:rsidRPr="006823AB">
        <w:rPr>
          <w:rFonts w:ascii="Times New Roman" w:eastAsia="Times New Roman" w:hAnsi="Times New Roman" w:cs="Times New Roman"/>
          <w:color w:val="000000"/>
          <w:sz w:val="28"/>
          <w:szCs w:val="28"/>
        </w:rPr>
        <w:t>№ </w:t>
      </w:r>
      <w:r w:rsidR="000C36EF">
        <w:rPr>
          <w:rFonts w:ascii="Times New Roman" w:eastAsia="Times New Roman" w:hAnsi="Times New Roman" w:cs="Times New Roman"/>
          <w:color w:val="000000"/>
          <w:sz w:val="28"/>
          <w:szCs w:val="28"/>
        </w:rPr>
        <w:t>03-28-2905/19-0-0 от 10.04.2019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t xml:space="preserve"> «О формировании учебных </w:t>
      </w:r>
      <w:r w:rsidR="000C36EF" w:rsidRPr="009C7AB4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планов образовательных организаций Санкт-Петербурга, реализующих основные общеобразовательные программы, на 2018/2019 учебный год»);</w:t>
      </w:r>
    </w:p>
    <w:p w:rsidR="00FE0CA6" w:rsidRDefault="009C7AB4" w:rsidP="009C7AB4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AB4">
        <w:rPr>
          <w:rFonts w:ascii="Times New Roman" w:eastAsia="Times New Roman" w:hAnsi="Times New Roman" w:cs="Times New Roman"/>
          <w:sz w:val="28"/>
          <w:szCs w:val="28"/>
        </w:rPr>
        <w:t>Региональная программа развития воспитания на 2017-2025 годы «Петербургские перспективы: духовно-нравственное развитие и воспитание детей, подростков и молодежи; социально-культурная практика; выбор жизненного пути» (по реализации в Санкт-Петербурге «Стратегии развития воспитания в Российской Федерации на период до 2025 года»).</w:t>
      </w:r>
    </w:p>
    <w:p w:rsidR="003F3EF6" w:rsidRPr="00157896" w:rsidRDefault="003F3EF6" w:rsidP="006E3FB5">
      <w:pPr>
        <w:keepNext/>
        <w:keepLines/>
        <w:spacing w:before="200" w:after="24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3" w:name="_Toc481242913"/>
      <w:bookmarkStart w:id="4" w:name="_Toc517791942"/>
      <w:r w:rsidRPr="00157896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Организация </w:t>
      </w:r>
      <w:bookmarkEnd w:id="3"/>
      <w:r w:rsidR="00657B8D" w:rsidRPr="00657B8D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образовательных практик учащихся </w:t>
      </w:r>
      <w:bookmarkEnd w:id="4"/>
    </w:p>
    <w:p w:rsidR="00CF15CC" w:rsidRDefault="00CF15CC" w:rsidP="003411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F15C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Концепцией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программы, принятой 24.11.2018 обучающимся должны быть предоставлены возможности одновременно с получением среднего общего образования пройти профессиональные пробы для освоения отдельных модулей предпрофессионального образования (среднего и/или высшего) в соответствии с профилем обучения по выбранным ими профессиям, основам предпринимательства, в том числе с использованием инфраструктуры</w:t>
      </w:r>
      <w:proofErr w:type="gramEnd"/>
      <w:r w:rsidRPr="00CF1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организаций профессионального образования. Такая деятельность может быть реализована через организацию образовательных практик, как на ступени старшей школы, так и на уровне предпрофильной подготовки (9-11 классы). </w:t>
      </w:r>
    </w:p>
    <w:p w:rsidR="00341136" w:rsidRPr="00341136" w:rsidRDefault="00341136" w:rsidP="003411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распоряжении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Комитета по образованию Санкт-Петербурга № 796-р от 20.03.2019 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2019/2020 учебный год» и соответствующ</w:t>
      </w:r>
      <w:r w:rsidR="00657B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>м Инструктивно-методическим письм</w:t>
      </w:r>
      <w:r w:rsidR="00657B8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03-28-2905/19-0-0 от 10.04.2019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указано, что ч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асы компонента образовательной организации при наличии учебников, рекомендуемых к использованию при реализации имеющих государственную аккредитацию образовательных программ 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среднего общего образования, могут использоваться для увеличения</w:t>
      </w:r>
      <w:proofErr w:type="gramEnd"/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количества часов, отведенных на преподавание базовых и профильных учебных предметов федерального компонента; преподавания элективных учебных предметов; преподавания учебных предметов, предлагаемых образовательной организацией; </w:t>
      </w:r>
      <w:r w:rsidRPr="003411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учебных практик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исследовательской деятельности; осуществления образовательных проектов и т.п.</w:t>
      </w:r>
    </w:p>
    <w:p w:rsidR="00341136" w:rsidRPr="00341136" w:rsidRDefault="00341136" w:rsidP="0034113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</w:t>
      </w:r>
    </w:p>
    <w:p w:rsidR="00341136" w:rsidRPr="00341136" w:rsidRDefault="00341136" w:rsidP="00341136">
      <w:pPr>
        <w:pStyle w:val="a9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341136" w:rsidRPr="00341136" w:rsidRDefault="00341136" w:rsidP="00341136">
      <w:pPr>
        <w:pStyle w:val="a9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>«надстройка» профильного учебного предмета, когда такой дополненный профильный учебный предмет становится в полной мере углубленным;</w:t>
      </w:r>
    </w:p>
    <w:p w:rsidR="00657B8D" w:rsidRDefault="00341136" w:rsidP="00341136">
      <w:pPr>
        <w:pStyle w:val="a9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удовлетворение познавательных интересов обучающихся в различных сферах человеческой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3FB5" w:rsidRPr="00341136" w:rsidRDefault="00341136" w:rsidP="00657B8D">
      <w:pPr>
        <w:pStyle w:val="a9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="00657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документе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отмечено, 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выбору профиля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продолжении обучения в 10-11 классах) </w:t>
      </w:r>
      <w:r w:rsidRPr="003411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должна предшествовать профориентационная работа. </w:t>
      </w:r>
    </w:p>
    <w:p w:rsidR="003F3EF6" w:rsidRDefault="00657B8D" w:rsidP="00FD61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образовательные практики могут быть реализованы в рамках элективных программ. П</w:t>
      </w:r>
      <w:r w:rsidR="003F3EF6"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>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</w:t>
      </w:r>
      <w:r w:rsidR="00FD61EA"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собиями, выпущенными издательствами,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</w:t>
      </w:r>
      <w:r w:rsidR="00FD61EA"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общего, среднего общего образования, утвержденный приказом Министерства образования и науки Российской Федерации от 09.06.2016 № 699</w:t>
      </w:r>
      <w:r w:rsidR="003F3EF6" w:rsidRPr="00FD61EA">
        <w:rPr>
          <w:rFonts w:ascii="Times New Roman" w:eastAsia="Times New Roman" w:hAnsi="Times New Roman" w:cs="Times New Roman"/>
          <w:color w:val="000000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Система оценивания элективного учебного предмета определяется рабочей программой учителя. 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</w:t>
      </w:r>
    </w:p>
    <w:p w:rsidR="00657B8D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F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образовательных практик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CC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готовности обучающихся к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самостоятельному и осознанному выбору сферы будущей профессиональной деятельности и построению индивидуального профессионального маршрута через</w:t>
      </w:r>
      <w:r w:rsidRPr="00066CC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профориентационных компетенций ученика, необходимых для решения практико-ориентированных задач, связанных с </w:t>
      </w:r>
      <w:r w:rsidR="003E7D06">
        <w:rPr>
          <w:rFonts w:ascii="Times New Roman" w:eastAsia="Times New Roman" w:hAnsi="Times New Roman" w:cs="Times New Roman"/>
          <w:sz w:val="28"/>
          <w:szCs w:val="28"/>
        </w:rPr>
        <w:t xml:space="preserve">адаптацией выпускника в </w:t>
      </w:r>
      <w:proofErr w:type="spellStart"/>
      <w:r w:rsidR="003E7D06">
        <w:rPr>
          <w:rFonts w:ascii="Times New Roman" w:eastAsia="Times New Roman" w:hAnsi="Times New Roman" w:cs="Times New Roman"/>
          <w:sz w:val="28"/>
          <w:szCs w:val="28"/>
        </w:rPr>
        <w:t>послешкольном</w:t>
      </w:r>
      <w:proofErr w:type="spellEnd"/>
      <w:r w:rsidR="003E7D06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</w:t>
      </w:r>
      <w:r w:rsidRPr="00066C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7B8D" w:rsidRPr="00A3018A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3018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достижения цели</w:t>
      </w:r>
      <w:r w:rsidRPr="0006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решение целого ряда </w:t>
      </w:r>
      <w:r w:rsidRPr="00066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066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57B8D" w:rsidRPr="00017EF4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компетенций школьников, связанных с анализом собственных возможностей и способностей; </w:t>
      </w:r>
    </w:p>
    <w:p w:rsidR="00657B8D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владение информацией о тенденциях развития рынка труда;</w:t>
      </w:r>
    </w:p>
    <w:p w:rsidR="00657B8D" w:rsidRPr="00017EF4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обучающихся о закономерностях изменений </w:t>
      </w:r>
      <w:r w:rsidRPr="006269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7B8D" w:rsidRPr="00017EF4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>- созда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щимися личного опыта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проб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в различных област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7B8D" w:rsidRDefault="00657B8D" w:rsidP="00657B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компетенций обучающихся, способствующих 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t>адапт</w:t>
      </w:r>
      <w:r>
        <w:rPr>
          <w:rFonts w:ascii="Times New Roman" w:eastAsia="Times New Roman" w:hAnsi="Times New Roman" w:cs="Times New Roman"/>
          <w:sz w:val="28"/>
          <w:szCs w:val="28"/>
        </w:rPr>
        <w:t>ации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t xml:space="preserve"> к изменяющимся условиям профессиональной среды и рынка </w:t>
      </w:r>
      <w:r w:rsidRPr="00A3018A">
        <w:rPr>
          <w:rFonts w:ascii="Times New Roman" w:eastAsia="Times New Roman" w:hAnsi="Times New Roman" w:cs="Times New Roman"/>
          <w:sz w:val="28"/>
          <w:szCs w:val="28"/>
        </w:rPr>
        <w:lastRenderedPageBreak/>
        <w:t>труда.</w:t>
      </w:r>
    </w:p>
    <w:p w:rsidR="00657B8D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Профориентационная работа, направленная на повышение уровня готовности к профессиональному самоопределению школьников, реализуется в общеобразовательном учреждении на протяжении всего образовательного процесса, но занимает особое место именно на уровне 9-11 классов. Организация образовательных практик на этапе предпрофильной подготовки осуществляется в 9 классе для эффективного построения и</w:t>
      </w:r>
      <w:r w:rsidRPr="006E3FB5">
        <w:rPr>
          <w:rFonts w:ascii="Times New Roman" w:eastAsia="Times New Roman" w:hAnsi="Times New Roman" w:cs="Times New Roman"/>
          <w:sz w:val="28"/>
          <w:szCs w:val="28"/>
        </w:rPr>
        <w:t>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FB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FB5">
        <w:rPr>
          <w:rFonts w:ascii="Times New Roman" w:eastAsia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eastAsia="Times New Roman" w:hAnsi="Times New Roman" w:cs="Times New Roman"/>
          <w:sz w:val="28"/>
          <w:szCs w:val="28"/>
        </w:rPr>
        <w:t>а. На этапе старшей школы в 10-11 классах образовательные практики способствуют построению и</w:t>
      </w:r>
      <w:r w:rsidRPr="006E3FB5">
        <w:rPr>
          <w:rFonts w:ascii="Times New Roman" w:eastAsia="Times New Roman" w:hAnsi="Times New Roman" w:cs="Times New Roman"/>
          <w:sz w:val="28"/>
          <w:szCs w:val="28"/>
        </w:rPr>
        <w:t>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FB5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6E3FB5">
        <w:rPr>
          <w:rFonts w:ascii="Times New Roman" w:eastAsia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657B8D" w:rsidRPr="0090004D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FB5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образовательный маршрут</w:t>
      </w:r>
      <w:r w:rsidRPr="0090004D">
        <w:rPr>
          <w:rFonts w:ascii="Times New Roman" w:eastAsia="Times New Roman" w:hAnsi="Times New Roman" w:cs="Times New Roman"/>
          <w:sz w:val="28"/>
          <w:szCs w:val="28"/>
        </w:rPr>
        <w:t xml:space="preserve"> – набор учебных дисциплин (предметов, элективных курсов, программ внеурочной деятельности), изучаемых на уровне профильного обучения.</w:t>
      </w:r>
    </w:p>
    <w:p w:rsidR="00657B8D" w:rsidRDefault="00657B8D" w:rsidP="00657B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FB5"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профессиональный маршрут</w:t>
      </w:r>
      <w:r w:rsidRPr="0090004D">
        <w:rPr>
          <w:rFonts w:ascii="Times New Roman" w:eastAsia="Times New Roman" w:hAnsi="Times New Roman" w:cs="Times New Roman"/>
          <w:sz w:val="28"/>
          <w:szCs w:val="28"/>
        </w:rPr>
        <w:t xml:space="preserve"> – путь получения профессии, последовательный набор учреждений профессионального образования и/или предприятий (организаций) для получения профессии. </w:t>
      </w:r>
      <w:proofErr w:type="gramStart"/>
      <w:r w:rsidRPr="0090004D">
        <w:rPr>
          <w:rFonts w:ascii="Times New Roman" w:eastAsia="Times New Roman" w:hAnsi="Times New Roman" w:cs="Times New Roman"/>
          <w:sz w:val="28"/>
          <w:szCs w:val="28"/>
        </w:rPr>
        <w:t>Например: колледж – ВУЗ – организация/производство; ВУЗ – производство; колледж – производство и т.д.</w:t>
      </w:r>
      <w:proofErr w:type="gramEnd"/>
    </w:p>
    <w:p w:rsidR="00657B8D" w:rsidRDefault="00657B8D" w:rsidP="00657B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F35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</w:t>
      </w:r>
      <w:r w:rsidRPr="00FA0F35">
        <w:rPr>
          <w:rFonts w:ascii="Times New Roman" w:eastAsia="Times New Roman" w:hAnsi="Times New Roman" w:cs="Times New Roman"/>
          <w:sz w:val="28"/>
          <w:szCs w:val="28"/>
        </w:rPr>
        <w:t>маршрут в соответствии с ФГОС среднего общего образования является необходимым условием реализации обучения на этапе старшей школы, а готовность к профессиональному самоопределению заявлена во ФГОС ООО как важнейший образовательный результат обучения в основной школе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образом, организация образовательных практик</w:t>
      </w:r>
      <w:r w:rsidRPr="00FE0CA6">
        <w:rPr>
          <w:rFonts w:ascii="Times New Roman" w:eastAsia="Times New Roman" w:hAnsi="Times New Roman" w:cs="Times New Roman"/>
          <w:sz w:val="28"/>
          <w:szCs w:val="28"/>
        </w:rPr>
        <w:t xml:space="preserve"> становится </w:t>
      </w:r>
      <w:r>
        <w:rPr>
          <w:rFonts w:ascii="Times New Roman" w:eastAsia="Times New Roman" w:hAnsi="Times New Roman" w:cs="Times New Roman"/>
          <w:sz w:val="28"/>
          <w:szCs w:val="28"/>
        </w:rPr>
        <w:t>неотъемлемой частью профориентационной работы школы в условиях внедрения ФГОС.</w:t>
      </w:r>
    </w:p>
    <w:p w:rsidR="003C73AB" w:rsidRDefault="003C73AB" w:rsidP="003C73AB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5" w:name="_Toc517791943"/>
      <w:r w:rsidRPr="0076177B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Условия организации </w:t>
      </w:r>
      <w:bookmarkEnd w:id="5"/>
      <w:r w:rsidR="00657B8D" w:rsidRPr="0076177B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образовательных практик учащихся</w:t>
      </w:r>
    </w:p>
    <w:p w:rsidR="003C73AB" w:rsidRPr="00017EF4" w:rsidRDefault="003C73AB" w:rsidP="003C73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возможностей </w:t>
      </w:r>
      <w:r w:rsidR="00657B8D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организации, а также особенностей </w:t>
      </w:r>
      <w:r w:rsidR="00657B8D">
        <w:rPr>
          <w:rFonts w:ascii="Times New Roman" w:eastAsia="Times New Roman" w:hAnsi="Times New Roman" w:cs="Times New Roman"/>
          <w:sz w:val="28"/>
          <w:szCs w:val="28"/>
        </w:rPr>
        <w:t xml:space="preserve">и структуры системы социального партнерства, </w:t>
      </w:r>
      <w:r w:rsidR="0076177B">
        <w:rPr>
          <w:rFonts w:ascii="Times New Roman" w:eastAsia="Times New Roman" w:hAnsi="Times New Roman" w:cs="Times New Roman"/>
          <w:sz w:val="28"/>
          <w:szCs w:val="28"/>
        </w:rPr>
        <w:t xml:space="preserve">реализуемой школой, организация образовательных практик 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76177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17EF4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3C73AB" w:rsidRPr="00017EF4" w:rsidRDefault="003C73AB" w:rsidP="003C73A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непосредственно </w:t>
      </w:r>
      <w:r w:rsidR="0076177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базе обще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образовательной организации</w:t>
      </w:r>
      <w:r w:rsidR="0076177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привлечением специалистов системы профессионального образования или учреждений работодателей (при наличии соответствующей организуемой деятельности материально-технической базы)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3C73AB" w:rsidRPr="00017EF4" w:rsidRDefault="003C73AB" w:rsidP="003C73A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сотрудничестве с организациями и учреждениями дополнительного образования детей;</w:t>
      </w:r>
    </w:p>
    <w:p w:rsidR="003C73AB" w:rsidRPr="00017EF4" w:rsidRDefault="003C73AB" w:rsidP="003C73AB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рамках реализации системы социального партнерства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учреждениями профессионального образования, организациями и предприятиями работодателей,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другими организациями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имеющими возможность предоставления базы для организации профессиональных проб</w:t>
      </w:r>
      <w:r w:rsidRPr="00017EF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3C73AB" w:rsidRPr="00017EF4" w:rsidRDefault="0076177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3C73AB"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рганизационны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3C73AB"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механизмо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="003C73AB"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стать</w:t>
      </w:r>
      <w:r w:rsidR="003C73AB" w:rsidRPr="00017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73AB" w:rsidRPr="00017EF4" w:rsidRDefault="003C73AB" w:rsidP="008F2CF9">
      <w:pPr>
        <w:numPr>
          <w:ilvl w:val="0"/>
          <w:numId w:val="2"/>
        </w:numPr>
        <w:suppressAutoHyphens/>
        <w:spacing w:after="0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разработка и осуществление совместных программ 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элективных курсов или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внеурочной деятельности 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форм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е образовательной практики как элемента профессиональной пробы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; </w:t>
      </w:r>
    </w:p>
    <w:p w:rsidR="003C73AB" w:rsidRPr="00017EF4" w:rsidRDefault="003C73AB" w:rsidP="008F2CF9">
      <w:pPr>
        <w:numPr>
          <w:ilvl w:val="0"/>
          <w:numId w:val="2"/>
        </w:numPr>
        <w:suppressAutoHyphens/>
        <w:spacing w:after="0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кооперация ресурсов учреждений общего и дополнительного образования детей (</w:t>
      </w:r>
      <w:proofErr w:type="gramStart"/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интеллектуальными</w:t>
      </w:r>
      <w:proofErr w:type="gramEnd"/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кадровыми, информационными, финансовыми, материально-техническими и др.);</w:t>
      </w:r>
    </w:p>
    <w:p w:rsidR="003C73AB" w:rsidRPr="00017EF4" w:rsidRDefault="003C73AB" w:rsidP="008F2CF9">
      <w:pPr>
        <w:numPr>
          <w:ilvl w:val="0"/>
          <w:numId w:val="2"/>
        </w:numPr>
        <w:suppressAutoHyphens/>
        <w:spacing w:after="0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предоставление услуг (консультативных, информационных, технических и др.)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:rsidR="003C73AB" w:rsidRPr="00017EF4" w:rsidRDefault="003C73AB" w:rsidP="003C73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финансовых механизмов</w:t>
      </w:r>
      <w:r w:rsidRPr="00017EF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интеграции</w:t>
      </w:r>
      <w:r w:rsidRPr="00017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учреждениями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профессионального </w:t>
      </w:r>
      <w:r w:rsidRPr="00017EF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может практиковаться организация взаимодействия:</w:t>
      </w:r>
    </w:p>
    <w:p w:rsidR="003C73AB" w:rsidRPr="00017EF4" w:rsidRDefault="003C73AB" w:rsidP="008F2CF9">
      <w:pPr>
        <w:numPr>
          <w:ilvl w:val="0"/>
          <w:numId w:val="3"/>
        </w:numPr>
        <w:suppressAutoHyphens/>
        <w:spacing w:after="0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на договорной основе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по прове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дению занятий</w:t>
      </w:r>
      <w:r w:rsidR="003E7D0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(мероприятий)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 рамках </w:t>
      </w:r>
      <w:r w:rsidR="0076177B"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программ 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элективных курсов или </w:t>
      </w:r>
      <w:r w:rsidR="0076177B"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внеурочной деятельности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по различным направлениям на базе школы (учреждени</w:t>
      </w:r>
      <w:r w:rsidR="00566F5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й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дополнительного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или профессионального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образования);</w:t>
      </w:r>
    </w:p>
    <w:p w:rsidR="003C73AB" w:rsidRPr="00017EF4" w:rsidRDefault="003C73AB" w:rsidP="008F2CF9">
      <w:pPr>
        <w:numPr>
          <w:ilvl w:val="0"/>
          <w:numId w:val="3"/>
        </w:numPr>
        <w:suppressAutoHyphens/>
        <w:spacing w:after="0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за счет</w:t>
      </w:r>
      <w:r w:rsidRPr="00017EF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eastAsia="ru-RU"/>
        </w:rPr>
        <w:t>выделения ставок педагогов дополнительного образования</w:t>
      </w:r>
      <w:r w:rsidRPr="00017EF4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ru-RU"/>
        </w:rPr>
        <w:t>,</w:t>
      </w:r>
      <w:r w:rsidRPr="00017EF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которые обеспечивают реализацию общеобразовательными 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lastRenderedPageBreak/>
        <w:t xml:space="preserve">учреждениями широкого спектра программ </w:t>
      </w:r>
      <w:r w:rsidR="0076177B" w:rsidRP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дополнительного образования </w:t>
      </w:r>
      <w:r w:rsidR="0076177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и/или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внеурочной деятельности</w:t>
      </w:r>
      <w:r w:rsidRPr="00017EF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AC0449" w:rsidRPr="00C13338" w:rsidRDefault="00AC0449" w:rsidP="00AC0449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6" w:name="_Toc517791945"/>
      <w:r w:rsidRPr="00C13338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Содержание </w:t>
      </w:r>
      <w:r w:rsidR="008F2CF9" w:rsidRPr="00C13338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образовательных практик учащихся </w:t>
      </w:r>
      <w:bookmarkEnd w:id="6"/>
    </w:p>
    <w:p w:rsidR="001069AE" w:rsidRDefault="00566F51" w:rsidP="00566F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учащихся </w:t>
      </w:r>
      <w:r w:rsidRPr="00566F51">
        <w:rPr>
          <w:rFonts w:ascii="Times New Roman" w:eastAsia="Times New Roman" w:hAnsi="Times New Roman" w:cs="Times New Roman"/>
          <w:color w:val="000000"/>
          <w:sz w:val="28"/>
          <w:szCs w:val="28"/>
        </w:rPr>
        <w:t>ГБОУ СОШ №422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68BD">
        <w:rPr>
          <w:rFonts w:ascii="Times New Roman" w:eastAsia="Times New Roman" w:hAnsi="Times New Roman" w:cs="Times New Roman"/>
          <w:color w:val="000000"/>
          <w:sz w:val="28"/>
          <w:szCs w:val="28"/>
        </w:rPr>
        <w:t>Кронштадтского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Санкт-Петербурга </w:t>
      </w:r>
      <w:r w:rsidRPr="00566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привлечением различных социальных партнеров</w:t>
      </w:r>
      <w:r w:rsidR="00106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трем направлениям:</w:t>
      </w:r>
    </w:p>
    <w:p w:rsidR="001069AE" w:rsidRPr="001069AE" w:rsidRDefault="001069AE" w:rsidP="003E7D06">
      <w:pPr>
        <w:pStyle w:val="a9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образовательной деятельности;</w:t>
      </w:r>
    </w:p>
    <w:p w:rsidR="001069AE" w:rsidRPr="001069AE" w:rsidRDefault="001069AE" w:rsidP="003E7D06">
      <w:pPr>
        <w:pStyle w:val="a9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организации профессиональных проб</w:t>
      </w:r>
    </w:p>
    <w:p w:rsidR="00566F51" w:rsidRPr="001069AE" w:rsidRDefault="001069AE" w:rsidP="003E7D06">
      <w:pPr>
        <w:pStyle w:val="a9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психолого-педагогического сопровождения процесса профессиональной ориентации и социализации школьников</w:t>
      </w:r>
      <w:r w:rsidR="00566F51" w:rsidRPr="00106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66F51" w:rsidRPr="001069AE" w:rsidRDefault="008A2917" w:rsidP="001069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Образовательная деятельность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5043"/>
      </w:tblGrid>
      <w:tr w:rsidR="00566F51" w:rsidRPr="0002470F" w:rsidTr="003E7D06">
        <w:trPr>
          <w:jc w:val="center"/>
        </w:trPr>
        <w:tc>
          <w:tcPr>
            <w:tcW w:w="4528" w:type="dxa"/>
          </w:tcPr>
          <w:p w:rsidR="00566F51" w:rsidRPr="001069AE" w:rsidRDefault="00566F51" w:rsidP="00106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Социальные партнеры</w:t>
            </w:r>
          </w:p>
        </w:tc>
        <w:tc>
          <w:tcPr>
            <w:tcW w:w="5043" w:type="dxa"/>
          </w:tcPr>
          <w:p w:rsidR="00566F51" w:rsidRPr="001069AE" w:rsidRDefault="00566F51" w:rsidP="00106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Мероприятия </w:t>
            </w:r>
          </w:p>
        </w:tc>
      </w:tr>
      <w:tr w:rsidR="00566F51" w:rsidRPr="0002470F" w:rsidTr="003E7D06">
        <w:trPr>
          <w:jc w:val="center"/>
        </w:trPr>
        <w:tc>
          <w:tcPr>
            <w:tcW w:w="4528" w:type="dxa"/>
          </w:tcPr>
          <w:p w:rsidR="00566F51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«Санкт-Петербургский электротехнический университет»</w:t>
            </w:r>
          </w:p>
        </w:tc>
        <w:tc>
          <w:tcPr>
            <w:tcW w:w="5043" w:type="dxa"/>
          </w:tcPr>
          <w:p w:rsidR="00566F51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и участие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научно-практической конференции «Наука будущего»</w:t>
            </w:r>
          </w:p>
        </w:tc>
      </w:tr>
      <w:tr w:rsidR="00566F51" w:rsidRPr="0002470F" w:rsidTr="003E7D06">
        <w:trPr>
          <w:jc w:val="center"/>
        </w:trPr>
        <w:tc>
          <w:tcPr>
            <w:tcW w:w="4528" w:type="dxa"/>
          </w:tcPr>
          <w:p w:rsidR="00566F51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«Санкт-Петербургский электротехнический университет»</w:t>
            </w:r>
          </w:p>
        </w:tc>
        <w:tc>
          <w:tcPr>
            <w:tcW w:w="5043" w:type="dxa"/>
          </w:tcPr>
          <w:p w:rsidR="00566F51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реализация программы дополнительного образования «</w:t>
            </w:r>
            <w:proofErr w:type="spell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Наномир</w:t>
            </w:r>
            <w:proofErr w:type="spell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13AB6" w:rsidRPr="0002470F" w:rsidTr="003E7D06">
        <w:trPr>
          <w:jc w:val="center"/>
        </w:trPr>
        <w:tc>
          <w:tcPr>
            <w:tcW w:w="452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Санкт-Петербургский 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политехнический университет им. Петра Великого</w:t>
            </w:r>
          </w:p>
        </w:tc>
        <w:tc>
          <w:tcPr>
            <w:tcW w:w="504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и участие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ежегодной научно-практической конференции «Дорога в </w:t>
            </w:r>
            <w:proofErr w:type="spell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Политех</w:t>
            </w:r>
            <w:proofErr w:type="spell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13AB6" w:rsidRPr="0002470F" w:rsidTr="003E7D06">
        <w:trPr>
          <w:jc w:val="center"/>
        </w:trPr>
        <w:tc>
          <w:tcPr>
            <w:tcW w:w="452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 бюджетное нетиповое образовательное учреждение «Академия талантов»</w:t>
            </w:r>
          </w:p>
        </w:tc>
        <w:tc>
          <w:tcPr>
            <w:tcW w:w="504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Сотрудничество в области образовательной деятельности</w:t>
            </w:r>
          </w:p>
        </w:tc>
      </w:tr>
      <w:tr w:rsidR="001069AE" w:rsidRPr="0002470F" w:rsidTr="003E7D06">
        <w:trPr>
          <w:jc w:val="center"/>
        </w:trPr>
        <w:tc>
          <w:tcPr>
            <w:tcW w:w="4528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 ГБУ «Кронштадтский Дворец молодежи»</w:t>
            </w:r>
          </w:p>
        </w:tc>
        <w:tc>
          <w:tcPr>
            <w:tcW w:w="5043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ежегодной конференции «Молодежь Кронштадта: вчера, сегодня, завтра» (перспективы развития Кронштадта, представление современных технологий и направлений развития дополнительного образования по инженерным направлениям)</w:t>
            </w:r>
          </w:p>
        </w:tc>
      </w:tr>
    </w:tbl>
    <w:p w:rsidR="00566F51" w:rsidRPr="001069AE" w:rsidRDefault="008A2917" w:rsidP="003E7D0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профессиональных проб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566F51" w:rsidRPr="0002470F" w:rsidTr="003E7D06">
        <w:tc>
          <w:tcPr>
            <w:tcW w:w="4503" w:type="dxa"/>
          </w:tcPr>
          <w:p w:rsidR="00566F51" w:rsidRPr="001069AE" w:rsidRDefault="008A2917" w:rsidP="00106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Социальные партнеры</w:t>
            </w:r>
          </w:p>
        </w:tc>
        <w:tc>
          <w:tcPr>
            <w:tcW w:w="5068" w:type="dxa"/>
          </w:tcPr>
          <w:p w:rsidR="00566F51" w:rsidRPr="001069AE" w:rsidRDefault="00566F51" w:rsidP="00106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566F51" w:rsidRPr="0002470F" w:rsidTr="003E7D06">
        <w:tc>
          <w:tcPr>
            <w:tcW w:w="4503" w:type="dxa"/>
          </w:tcPr>
          <w:p w:rsidR="00566F51" w:rsidRPr="004A68BD" w:rsidRDefault="00566F51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«Санкт-Петербургский  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электротехнический университет»</w:t>
            </w:r>
          </w:p>
        </w:tc>
        <w:tc>
          <w:tcPr>
            <w:tcW w:w="5068" w:type="dxa"/>
          </w:tcPr>
          <w:p w:rsidR="00566F51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Круглые столы</w:t>
            </w:r>
            <w:r w:rsidR="00566F51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«Моя будущая </w:t>
            </w:r>
            <w:r w:rsidR="00566F51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профессия»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подготовка выпускников</w:t>
            </w:r>
            <w:r w:rsidR="00566F51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 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участию </w:t>
            </w:r>
            <w:r w:rsidR="00566F51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целевом наборе</w:t>
            </w:r>
          </w:p>
        </w:tc>
      </w:tr>
      <w:tr w:rsidR="00213AB6" w:rsidRPr="0002470F" w:rsidTr="003E7D06">
        <w:tc>
          <w:tcPr>
            <w:tcW w:w="450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Санкт-Петербургский  политехнический университет им. Петра Великого</w:t>
            </w:r>
          </w:p>
        </w:tc>
        <w:tc>
          <w:tcPr>
            <w:tcW w:w="506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Сотрудничество с </w:t>
            </w:r>
            <w:proofErr w:type="spell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ФабЛаб</w:t>
            </w:r>
            <w:proofErr w:type="spell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(организация проектной школы </w:t>
            </w:r>
            <w:proofErr w:type="spell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мейкеров</w:t>
            </w:r>
            <w:proofErr w:type="spell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01.09.2019)</w:t>
            </w:r>
          </w:p>
        </w:tc>
      </w:tr>
      <w:tr w:rsidR="00213AB6" w:rsidRPr="0002470F" w:rsidTr="003E7D06">
        <w:tc>
          <w:tcPr>
            <w:tcW w:w="450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Детский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морской центр Кронштадтского района</w:t>
            </w:r>
          </w:p>
        </w:tc>
        <w:tc>
          <w:tcPr>
            <w:tcW w:w="506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мероприятиях Центра по военно-морскому направлению с реализацией профессиональных проб</w:t>
            </w:r>
          </w:p>
        </w:tc>
      </w:tr>
      <w:tr w:rsidR="00213AB6" w:rsidRPr="0002470F" w:rsidTr="003E7D06">
        <w:tc>
          <w:tcPr>
            <w:tcW w:w="450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СПб ГБОУ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детского творчества Кронштадтского района </w:t>
            </w:r>
          </w:p>
        </w:tc>
        <w:tc>
          <w:tcPr>
            <w:tcW w:w="506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обучающихся в мероприятиях Дома детского творчества по направлениям творческой деятельности</w:t>
            </w:r>
            <w:proofErr w:type="gramEnd"/>
          </w:p>
        </w:tc>
      </w:tr>
      <w:tr w:rsidR="00213AB6" w:rsidRPr="0002470F" w:rsidTr="003E7D06">
        <w:tc>
          <w:tcPr>
            <w:tcW w:w="450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Санкт-Петербургский  педагогический университет им. Герцена </w:t>
            </w:r>
          </w:p>
        </w:tc>
        <w:tc>
          <w:tcPr>
            <w:tcW w:w="506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выпускников школы к участию в целевом наборе (договор о целевом приеме с РГПУ им. Герцена) </w:t>
            </w:r>
          </w:p>
        </w:tc>
      </w:tr>
      <w:tr w:rsidR="00213AB6" w:rsidRPr="0002470F" w:rsidTr="003E7D06">
        <w:tc>
          <w:tcPr>
            <w:tcW w:w="450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ОАО «Кронштадтский морской завод»</w:t>
            </w:r>
          </w:p>
        </w:tc>
        <w:tc>
          <w:tcPr>
            <w:tcW w:w="5068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Ежегодные экскурсии в газотурбинный цех (организация </w:t>
            </w:r>
            <w:proofErr w:type="spell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профпроб</w:t>
            </w:r>
            <w:proofErr w:type="spell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базе современного модернизированного оборудования)</w:t>
            </w:r>
          </w:p>
        </w:tc>
      </w:tr>
      <w:tr w:rsidR="00213AB6" w:rsidRPr="0002470F" w:rsidTr="003E7D06">
        <w:tc>
          <w:tcPr>
            <w:tcW w:w="4503" w:type="dxa"/>
          </w:tcPr>
          <w:p w:rsidR="00213AB6" w:rsidRPr="004A68BD" w:rsidRDefault="00213AB6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Санкт-Петербургское государственное бюджетное учреждение «Кронштадтский озд</w:t>
            </w:r>
            <w:r w:rsidR="001069AE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оровительно-спортивный центр», центр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военно-спортивной работы </w:t>
            </w:r>
          </w:p>
        </w:tc>
        <w:tc>
          <w:tcPr>
            <w:tcW w:w="5068" w:type="dxa"/>
          </w:tcPr>
          <w:p w:rsidR="00213AB6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Профориентационны</w:t>
            </w:r>
            <w:r w:rsidR="00213AB6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меропр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иятия по военно-патриотическому направлению (Зарница, </w:t>
            </w:r>
            <w:r w:rsidR="00213AB6"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стрельбе и др.)</w:t>
            </w:r>
          </w:p>
        </w:tc>
      </w:tr>
      <w:tr w:rsidR="001069AE" w:rsidRPr="0002470F" w:rsidTr="003E7D06">
        <w:tc>
          <w:tcPr>
            <w:tcW w:w="4503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 ГБУЗ «Городская поликлиника №74»</w:t>
            </w:r>
          </w:p>
        </w:tc>
        <w:tc>
          <w:tcPr>
            <w:tcW w:w="5068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«Первые шаги в профессии» с участием главного врача поликлиники</w:t>
            </w:r>
          </w:p>
        </w:tc>
      </w:tr>
      <w:tr w:rsidR="001069AE" w:rsidRPr="0002470F" w:rsidTr="003E7D06">
        <w:tc>
          <w:tcPr>
            <w:tcW w:w="4503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ФГАОУ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«Санкт-Петербургский университет аэрокосмического приборостроения»</w:t>
            </w:r>
          </w:p>
        </w:tc>
        <w:tc>
          <w:tcPr>
            <w:tcW w:w="5068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различных совместных мероприятий профориентационной направленности с использованием ресурсов ВУЗа</w:t>
            </w:r>
          </w:p>
        </w:tc>
      </w:tr>
      <w:tr w:rsidR="001069AE" w:rsidRPr="0002470F" w:rsidTr="003E7D06">
        <w:tc>
          <w:tcPr>
            <w:tcW w:w="4503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ФГОУ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«Санкт-Петербургский  электротехнический университет»</w:t>
            </w:r>
          </w:p>
        </w:tc>
        <w:tc>
          <w:tcPr>
            <w:tcW w:w="5068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различных совместных мероприятий профориентационной направленности с использованием ресурсов ВУЗа</w:t>
            </w:r>
          </w:p>
        </w:tc>
      </w:tr>
      <w:tr w:rsidR="001069AE" w:rsidRPr="0002470F" w:rsidTr="003E7D06">
        <w:tc>
          <w:tcPr>
            <w:tcW w:w="4503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 ГАУ «Дирекция по управлению спортивными сооружениями» ОАО Газпром, Бассейн Газпрома</w:t>
            </w:r>
          </w:p>
        </w:tc>
        <w:tc>
          <w:tcPr>
            <w:tcW w:w="5068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на базе бассейна программ внеурочной деятельности по плаванию</w:t>
            </w:r>
          </w:p>
        </w:tc>
      </w:tr>
    </w:tbl>
    <w:p w:rsidR="003E7D06" w:rsidRDefault="003E7D06" w:rsidP="004A6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D06" w:rsidRDefault="003E7D0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66F51" w:rsidRPr="001069AE" w:rsidRDefault="008A2917" w:rsidP="001069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6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Психолого-педагогическое сопровождение процесса профессиональной ориентации </w:t>
      </w:r>
      <w:r w:rsidR="001069AE" w:rsidRPr="00106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социализации </w:t>
      </w:r>
      <w:r w:rsidRPr="001069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школьников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2"/>
        <w:gridCol w:w="5059"/>
      </w:tblGrid>
      <w:tr w:rsidR="00566F51" w:rsidRPr="00C03D74" w:rsidTr="008A2917">
        <w:tc>
          <w:tcPr>
            <w:tcW w:w="4512" w:type="dxa"/>
          </w:tcPr>
          <w:p w:rsidR="00566F51" w:rsidRPr="001069AE" w:rsidRDefault="008A2917" w:rsidP="00106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Социальные партнеры</w:t>
            </w:r>
          </w:p>
        </w:tc>
        <w:tc>
          <w:tcPr>
            <w:tcW w:w="5059" w:type="dxa"/>
          </w:tcPr>
          <w:p w:rsidR="00566F51" w:rsidRPr="001069AE" w:rsidRDefault="00566F51" w:rsidP="001069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69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</w:tr>
      <w:tr w:rsidR="008A2917" w:rsidRPr="00C03D74" w:rsidTr="008A2917">
        <w:tc>
          <w:tcPr>
            <w:tcW w:w="4512" w:type="dxa"/>
          </w:tcPr>
          <w:p w:rsidR="008A2917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психолого-педагогической, медицинской и социальной помощи Кронштадтского района </w:t>
            </w:r>
          </w:p>
        </w:tc>
        <w:tc>
          <w:tcPr>
            <w:tcW w:w="5059" w:type="dxa"/>
          </w:tcPr>
          <w:p w:rsidR="008A2917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Психолого-педагогическое сопровождение учебного процесса</w:t>
            </w:r>
          </w:p>
        </w:tc>
      </w:tr>
      <w:tr w:rsidR="008A2917" w:rsidRPr="00C03D74" w:rsidTr="008A2917">
        <w:tc>
          <w:tcPr>
            <w:tcW w:w="4512" w:type="dxa"/>
          </w:tcPr>
          <w:p w:rsidR="008A2917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 Центр помощи семьи и детям Кронштадтского района</w:t>
            </w:r>
          </w:p>
        </w:tc>
        <w:tc>
          <w:tcPr>
            <w:tcW w:w="5059" w:type="dxa"/>
          </w:tcPr>
          <w:p w:rsidR="008A2917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обучающихся и их родителей </w:t>
            </w:r>
          </w:p>
        </w:tc>
      </w:tr>
      <w:tr w:rsidR="008A2917" w:rsidRPr="00C03D74" w:rsidTr="008A2917">
        <w:tc>
          <w:tcPr>
            <w:tcW w:w="4512" w:type="dxa"/>
          </w:tcPr>
          <w:p w:rsidR="008A2917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 ГБУ «Кронштадтский Дворец молодежи»</w:t>
            </w:r>
          </w:p>
        </w:tc>
        <w:tc>
          <w:tcPr>
            <w:tcW w:w="5059" w:type="dxa"/>
          </w:tcPr>
          <w:p w:rsidR="008A2917" w:rsidRPr="004A68BD" w:rsidRDefault="008A2917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</w:t>
            </w:r>
            <w:r w:rsid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частие в мероприятиях Дворца, </w:t>
            </w: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направленных на профилактику правонарушений несовершеннолетних путем расширения социального партнерства</w:t>
            </w:r>
          </w:p>
        </w:tc>
      </w:tr>
      <w:tr w:rsidR="001069AE" w:rsidRPr="00C03D74" w:rsidTr="008A2917">
        <w:tc>
          <w:tcPr>
            <w:tcW w:w="4512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«Центр тестирования и развития «Гуманитарные технологии»</w:t>
            </w:r>
          </w:p>
        </w:tc>
        <w:tc>
          <w:tcPr>
            <w:tcW w:w="5059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Тестирование обучающихся 8-11классов на выявление профориентационных склонностей, консультирование </w:t>
            </w:r>
          </w:p>
        </w:tc>
      </w:tr>
      <w:tr w:rsidR="001069AE" w:rsidRPr="00C03D74" w:rsidTr="008A2917">
        <w:tc>
          <w:tcPr>
            <w:tcW w:w="4512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ГБУ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gramEnd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психолого-педагогической, медицинской и социальной помощи Кронштадтского района </w:t>
            </w:r>
          </w:p>
        </w:tc>
        <w:tc>
          <w:tcPr>
            <w:tcW w:w="5059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Профориентационное тестирование обучающихся 8-10 классов, помощь в выявлении профессиональных склонностей и интересов, консультирование</w:t>
            </w:r>
          </w:p>
        </w:tc>
      </w:tr>
      <w:tr w:rsidR="001069AE" w:rsidRPr="00C03D74" w:rsidTr="008A2917">
        <w:tc>
          <w:tcPr>
            <w:tcW w:w="4512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 ГБУ «Кронштадтский Дворец молодежи»</w:t>
            </w:r>
          </w:p>
        </w:tc>
        <w:tc>
          <w:tcPr>
            <w:tcW w:w="5059" w:type="dxa"/>
          </w:tcPr>
          <w:p w:rsidR="001069AE" w:rsidRPr="004A68BD" w:rsidRDefault="001069AE" w:rsidP="004A68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и участие обучающихся в  мероприятиях по </w:t>
            </w:r>
            <w:proofErr w:type="spellStart"/>
            <w:r w:rsidRPr="004A6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волонтерингу</w:t>
            </w:r>
            <w:proofErr w:type="spellEnd"/>
            <w:proofErr w:type="gramEnd"/>
          </w:p>
        </w:tc>
      </w:tr>
    </w:tbl>
    <w:p w:rsidR="00566F51" w:rsidRPr="0002470F" w:rsidRDefault="00566F51" w:rsidP="004A6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4253" w:rsidRDefault="004A68BD" w:rsidP="00AC04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744253" w:rsidRPr="00744253">
        <w:rPr>
          <w:rFonts w:ascii="Times New Roman" w:eastAsia="Times New Roman" w:hAnsi="Times New Roman" w:cs="Times New Roman"/>
          <w:sz w:val="28"/>
          <w:szCs w:val="28"/>
        </w:rPr>
        <w:t>профориентационные мероприятия являются частью комплексной системной профориентационной работы в общеобразовательном учреждении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объединяющей учебную,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дополнительное образование и п</w:t>
      </w:r>
      <w:r w:rsidRPr="004A68BD">
        <w:rPr>
          <w:rFonts w:ascii="Times New Roman" w:eastAsia="Times New Roman" w:hAnsi="Times New Roman" w:cs="Times New Roman"/>
          <w:sz w:val="28"/>
          <w:szCs w:val="28"/>
        </w:rPr>
        <w:t>сихолого-педагогическое сопровождение процесса профессиональной ориентации и социализации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66FA" w:rsidRPr="00C13338" w:rsidRDefault="009A084D" w:rsidP="003517B4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7" w:name="_Toc517791947"/>
      <w:r w:rsidRPr="00C13338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Диагностика результативности </w:t>
      </w:r>
      <w:bookmarkEnd w:id="7"/>
      <w:r w:rsidR="00C13338" w:rsidRPr="00C13338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организации образовательных практик</w:t>
      </w:r>
    </w:p>
    <w:p w:rsidR="00C13338" w:rsidRPr="00C13338" w:rsidRDefault="00C13338" w:rsidP="00C133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338">
        <w:rPr>
          <w:rFonts w:ascii="Times New Roman" w:eastAsia="Times New Roman" w:hAnsi="Times New Roman" w:cs="Times New Roman"/>
          <w:sz w:val="28"/>
          <w:szCs w:val="28"/>
        </w:rPr>
        <w:t>Примерными критериями готовности обучающихся к профессиональному самоопределению в старшей школе могут выступать:</w:t>
      </w:r>
    </w:p>
    <w:p w:rsidR="00C13338" w:rsidRPr="00C0673F" w:rsidRDefault="00C13338" w:rsidP="00C13338">
      <w:pPr>
        <w:pStyle w:val="a9"/>
        <w:numPr>
          <w:ilvl w:val="0"/>
          <w:numId w:val="21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F">
        <w:rPr>
          <w:rFonts w:ascii="Times New Roman" w:eastAsia="Times New Roman" w:hAnsi="Times New Roman" w:cs="Times New Roman"/>
          <w:sz w:val="28"/>
          <w:szCs w:val="28"/>
        </w:rPr>
        <w:lastRenderedPageBreak/>
        <w:t>выраженность ценностных ориентаци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, связанных с профилем обучения и соответствующими ему направлениями </w:t>
      </w:r>
      <w:proofErr w:type="spellStart"/>
      <w:r w:rsidRPr="00C0673F">
        <w:rPr>
          <w:rFonts w:ascii="Times New Roman" w:eastAsia="Times New Roman" w:hAnsi="Times New Roman" w:cs="Times New Roman"/>
          <w:sz w:val="28"/>
          <w:szCs w:val="28"/>
        </w:rPr>
        <w:t>послешкольного</w:t>
      </w:r>
      <w:proofErr w:type="spellEnd"/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образования;</w:t>
      </w:r>
    </w:p>
    <w:p w:rsidR="00C13338" w:rsidRPr="00C0673F" w:rsidRDefault="00C13338" w:rsidP="00C13338">
      <w:pPr>
        <w:pStyle w:val="a9"/>
        <w:numPr>
          <w:ilvl w:val="0"/>
          <w:numId w:val="21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F">
        <w:rPr>
          <w:rFonts w:ascii="Times New Roman" w:eastAsia="Times New Roman" w:hAnsi="Times New Roman" w:cs="Times New Roman"/>
          <w:sz w:val="28"/>
          <w:szCs w:val="28"/>
        </w:rPr>
        <w:t>представленность индивидуально выраженных целей профильного обучения;</w:t>
      </w:r>
    </w:p>
    <w:p w:rsidR="00C13338" w:rsidRPr="00C0673F" w:rsidRDefault="00C13338" w:rsidP="00C13338">
      <w:pPr>
        <w:pStyle w:val="a9"/>
        <w:numPr>
          <w:ilvl w:val="0"/>
          <w:numId w:val="21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F">
        <w:rPr>
          <w:rFonts w:ascii="Times New Roman" w:eastAsia="Times New Roman" w:hAnsi="Times New Roman" w:cs="Times New Roman"/>
          <w:sz w:val="28"/>
          <w:szCs w:val="28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C13338" w:rsidRDefault="00C13338" w:rsidP="00C13338">
      <w:pPr>
        <w:pStyle w:val="a9"/>
        <w:numPr>
          <w:ilvl w:val="0"/>
          <w:numId w:val="21"/>
        </w:numPr>
        <w:spacing w:after="0" w:line="36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наличие опыта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профессиональных проб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по освоению образовательного материала,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/ или развитию </w:t>
      </w:r>
      <w:r w:rsidRPr="00C0673F">
        <w:rPr>
          <w:rFonts w:ascii="Times New Roman" w:eastAsia="Times New Roman" w:hAnsi="Times New Roman" w:cs="Times New Roman"/>
          <w:sz w:val="28"/>
          <w:szCs w:val="28"/>
        </w:rPr>
        <w:t xml:space="preserve">компетенций, востребованных в </w:t>
      </w:r>
      <w:r>
        <w:rPr>
          <w:rFonts w:ascii="Times New Roman" w:eastAsia="Times New Roman" w:hAnsi="Times New Roman" w:cs="Times New Roman"/>
          <w:sz w:val="28"/>
          <w:szCs w:val="28"/>
        </w:rPr>
        <w:t>выбираемом профиле обучения.</w:t>
      </w:r>
    </w:p>
    <w:p w:rsidR="00C13338" w:rsidRPr="00C0673F" w:rsidRDefault="00C13338" w:rsidP="00C133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практика,</w:t>
      </w:r>
      <w:r w:rsidRPr="007B413F">
        <w:rPr>
          <w:rFonts w:ascii="Times New Roman" w:eastAsia="Times New Roman" w:hAnsi="Times New Roman" w:cs="Times New Roman"/>
          <w:sz w:val="28"/>
          <w:szCs w:val="28"/>
        </w:rPr>
        <w:t xml:space="preserve"> в первую очередь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B413F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направлена на достижение обучающимися основного планируемого результата – формирования профориентационной компетентности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(см. глоссарий)</w:t>
      </w:r>
      <w:r w:rsidRPr="007B41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61EA" w:rsidRDefault="009A084D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При оценивании результатов </w:t>
      </w:r>
      <w:r w:rsidR="00C13338">
        <w:rPr>
          <w:rFonts w:ascii="Times New Roman" w:eastAsia="Times New Roman" w:hAnsi="Times New Roman" w:cs="Times New Roman"/>
          <w:sz w:val="28"/>
          <w:szCs w:val="28"/>
        </w:rPr>
        <w:t>реализации образовательных практик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33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рамках 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>элективных курс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 следует руководствоваться критериями оценивания, заложенны</w:t>
      </w:r>
      <w:r w:rsidR="00C13338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>в программ</w:t>
      </w:r>
      <w:r w:rsidR="001367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8BD">
        <w:rPr>
          <w:rFonts w:ascii="Times New Roman" w:eastAsia="Times New Roman" w:hAnsi="Times New Roman" w:cs="Times New Roman"/>
          <w:sz w:val="28"/>
          <w:szCs w:val="28"/>
        </w:rPr>
        <w:t xml:space="preserve">авторами-составителями </w:t>
      </w:r>
      <w:r w:rsidRPr="00626904">
        <w:rPr>
          <w:rFonts w:ascii="Times New Roman" w:eastAsia="Times New Roman" w:hAnsi="Times New Roman" w:cs="Times New Roman"/>
          <w:sz w:val="28"/>
          <w:szCs w:val="28"/>
        </w:rPr>
        <w:t xml:space="preserve">элективного курса. </w:t>
      </w:r>
      <w:r w:rsidR="00FD61E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36720" w:rsidRPr="00136720">
        <w:rPr>
          <w:rFonts w:ascii="Times New Roman" w:eastAsia="Times New Roman" w:hAnsi="Times New Roman" w:cs="Times New Roman"/>
          <w:sz w:val="28"/>
          <w:szCs w:val="28"/>
        </w:rPr>
        <w:t>Инструктивно-методическ</w:t>
      </w:r>
      <w:r w:rsidR="00136720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136720" w:rsidRPr="00136720">
        <w:rPr>
          <w:rFonts w:ascii="Times New Roman" w:eastAsia="Times New Roman" w:hAnsi="Times New Roman" w:cs="Times New Roman"/>
          <w:sz w:val="28"/>
          <w:szCs w:val="28"/>
        </w:rPr>
        <w:t xml:space="preserve"> письмо</w:t>
      </w:r>
      <w:r w:rsidR="0013672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36720" w:rsidRPr="00136720">
        <w:rPr>
          <w:rFonts w:ascii="Times New Roman" w:eastAsia="Times New Roman" w:hAnsi="Times New Roman" w:cs="Times New Roman"/>
          <w:sz w:val="28"/>
          <w:szCs w:val="28"/>
        </w:rPr>
        <w:t xml:space="preserve"> Комитета по образованию Санкт-Петербурга </w:t>
      </w:r>
      <w:r w:rsidR="00C13338" w:rsidRPr="00C13338">
        <w:rPr>
          <w:rFonts w:ascii="Times New Roman" w:eastAsia="Times New Roman" w:hAnsi="Times New Roman" w:cs="Times New Roman"/>
          <w:sz w:val="28"/>
          <w:szCs w:val="28"/>
        </w:rPr>
        <w:t xml:space="preserve">№ 03-28-2905/19-0-0 от 10.04.2019 </w:t>
      </w:r>
      <w:r w:rsidR="00136720" w:rsidRPr="00136720">
        <w:rPr>
          <w:rFonts w:ascii="Times New Roman" w:eastAsia="Times New Roman" w:hAnsi="Times New Roman" w:cs="Times New Roman"/>
          <w:sz w:val="28"/>
          <w:szCs w:val="28"/>
        </w:rPr>
        <w:t>«О формировании учебных планов образовательных организаций Санкт-Петербурга, реализующих основные общеобразовательные программы, на 201</w:t>
      </w:r>
      <w:r w:rsidR="00C13338">
        <w:rPr>
          <w:rFonts w:ascii="Times New Roman" w:eastAsia="Times New Roman" w:hAnsi="Times New Roman" w:cs="Times New Roman"/>
          <w:sz w:val="28"/>
          <w:szCs w:val="28"/>
        </w:rPr>
        <w:t>9</w:t>
      </w:r>
      <w:r w:rsidR="00136720" w:rsidRPr="00136720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C1333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36720" w:rsidRPr="00136720">
        <w:rPr>
          <w:rFonts w:ascii="Times New Roman" w:eastAsia="Times New Roman" w:hAnsi="Times New Roman" w:cs="Times New Roman"/>
          <w:sz w:val="28"/>
          <w:szCs w:val="28"/>
        </w:rPr>
        <w:t xml:space="preserve"> учебный год»</w:t>
      </w:r>
      <w:r w:rsidR="00FD61EA" w:rsidRPr="00FD61E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балльной системы оценивания не рекомендуется. В целях подготовки к переходу на ФГОС </w:t>
      </w:r>
      <w:r w:rsidR="004A68BD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="00FD61EA" w:rsidRPr="00FD61EA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 рекомендуется опробовать на элективных учебных предметах новые или альтернативные методы оценивания.</w:t>
      </w:r>
    </w:p>
    <w:p w:rsidR="00136720" w:rsidRDefault="00136720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диагностики результати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вности деятельности обучающихся в процессе реализации 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практик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аиболее </w:t>
      </w:r>
      <w:r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целесообразно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8EA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использовать 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технологию </w:t>
      </w:r>
      <w:r w:rsidRPr="00A301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портфолио</w:t>
      </w:r>
      <w:r w:rsidR="009A58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466FA" w:rsidRDefault="002466FA" w:rsidP="002466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6FA">
        <w:rPr>
          <w:rFonts w:ascii="Times New Roman" w:eastAsia="Times New Roman" w:hAnsi="Times New Roman" w:cs="Times New Roman"/>
          <w:sz w:val="28"/>
          <w:szCs w:val="28"/>
        </w:rPr>
        <w:lastRenderedPageBreak/>
        <w:t>Портфолио - это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сертифицированных</w:t>
      </w:r>
      <w:r w:rsidRPr="002466FA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учебных достижений учащегося</w:t>
      </w:r>
      <w:r w:rsidR="009A58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A6D" w:rsidRDefault="009A58EA" w:rsidP="005F0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8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Портфолио </w:t>
      </w:r>
      <w:r w:rsidR="005F0A6D" w:rsidRPr="00A301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ученика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представлять собой папку с результатами всех диагностических исследований, их анализом и выводами. В портфолио необхо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димо размещать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с анализом итогов образовательной практики,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обучающихся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анализу предпочтений к определенным профилям обучения; поиску информации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профессиональных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заведениях, профессиограммы предполагаемых </w:t>
      </w:r>
      <w:r w:rsidR="004A6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дальнейшего освоения </w:t>
      </w:r>
      <w:r w:rsidR="005F0A6D" w:rsidRPr="00A30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профессий и специальностей. </w:t>
      </w:r>
    </w:p>
    <w:p w:rsidR="003C689A" w:rsidRPr="003C689A" w:rsidRDefault="0062251F" w:rsidP="003C68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завершении 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цикла образовательных практик</w:t>
      </w:r>
      <w:r w:rsidRP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реализована методика</w:t>
      </w:r>
      <w:r w:rsidR="00744253" w:rsidRP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253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253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44253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Кабардовой</w:t>
      </w:r>
      <w:proofErr w:type="spellEnd"/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ющая</w:t>
      </w:r>
      <w:r w:rsidRP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уровень социальной зрелости учащихся, выраженн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готовности к самостоятельному выбору профиля обучения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офессиональному самоопределению.</w:t>
      </w:r>
      <w:r w:rsidR="009A58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</w:t>
      </w:r>
      <w:r w:rsidR="00744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к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арт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самоконтроля готовности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подростков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проф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ессиональному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самоопределению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 методика помогает не только определить, насколько школьник готов к профессиональному самоопределению, но и сформулировать направления для его дальнейшего развития. Данная методика имеет ценность, прежде всего, рефлексивную. Анализируя результаты по данному опроснику, 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щийся может понять, чего ему не хватает для того, чтобы сделать ос</w:t>
      </w:r>
      <w:r w:rsidR="00AA40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ознан</w:t>
      </w:r>
      <w:r w:rsidR="003C689A"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 профессиональный выбор.</w:t>
      </w:r>
    </w:p>
    <w:p w:rsidR="0062251F" w:rsidRPr="00A3018A" w:rsidRDefault="003C689A" w:rsidP="003C68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 состоит из трех блоков, в каждый из которых включено по восемь утверждений с тремя вариантами ответов. Первый блок посвящен исследованию степени осмысленности роли професси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ональной деятельности</w:t>
      </w:r>
      <w:r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жизни старшеклассника, тому, насколько профессиональная сфера включена в его жизненные планы, в его отношение к жизни. Второй блок направлен на изучение степени осведомленности старшеклассника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выбираемом профиле обучения или сфере возможной </w:t>
      </w:r>
      <w:r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будущей професси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ональной деятельности</w:t>
      </w:r>
      <w:r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Третий блок утверждений связан с </w:t>
      </w:r>
      <w:r w:rsidRPr="003C6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исследованием степени осведомленности о своих возможностях в контексте выбираемой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сферы профессиональной деятельности.</w:t>
      </w:r>
    </w:p>
    <w:p w:rsidR="009F60D0" w:rsidRDefault="009F60D0" w:rsidP="005F0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744253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53">
        <w:rPr>
          <w:rFonts w:ascii="Times New Roman" w:eastAsia="Times New Roman" w:hAnsi="Times New Roman" w:cs="Times New Roman"/>
          <w:sz w:val="28"/>
          <w:szCs w:val="28"/>
        </w:rPr>
        <w:t>могут быть внесены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портфолио ученика.</w:t>
      </w:r>
    </w:p>
    <w:p w:rsidR="009F60D0" w:rsidRPr="004C31CB" w:rsidRDefault="009F60D0" w:rsidP="005F0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портфолио (разделы, позиции, критерии) мо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</w:rPr>
        <w:t>т быть разработан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о</w:t>
      </w:r>
      <w:r w:rsidR="00744253">
        <w:rPr>
          <w:rFonts w:ascii="Times New Roman" w:eastAsia="Times New Roman" w:hAnsi="Times New Roman" w:cs="Times New Roman"/>
          <w:sz w:val="28"/>
          <w:szCs w:val="28"/>
        </w:rPr>
        <w:t xml:space="preserve">бщеобразовательной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и принят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коллективом на педагогическом совете или</w:t>
      </w:r>
      <w:r w:rsidR="0050707B">
        <w:rPr>
          <w:rFonts w:ascii="Times New Roman" w:eastAsia="Times New Roman" w:hAnsi="Times New Roman" w:cs="Times New Roman"/>
          <w:sz w:val="28"/>
          <w:szCs w:val="28"/>
        </w:rPr>
        <w:t xml:space="preserve"> локальным актом школы.</w:t>
      </w:r>
      <w:r w:rsidR="00744253" w:rsidRPr="00744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53">
        <w:rPr>
          <w:rFonts w:ascii="Times New Roman" w:eastAsia="Times New Roman" w:hAnsi="Times New Roman" w:cs="Times New Roman"/>
          <w:sz w:val="28"/>
          <w:szCs w:val="28"/>
        </w:rPr>
        <w:t xml:space="preserve">Разделы портфолио ученика могут быть предложены самими обучающимися и </w:t>
      </w:r>
      <w:r w:rsidR="00744253" w:rsidRPr="004C31CB">
        <w:rPr>
          <w:rFonts w:ascii="Times New Roman" w:eastAsia="Times New Roman" w:hAnsi="Times New Roman" w:cs="Times New Roman"/>
          <w:sz w:val="28"/>
          <w:szCs w:val="28"/>
        </w:rPr>
        <w:t>формироваться по мере обучения в 9-11 классах.</w:t>
      </w:r>
    </w:p>
    <w:p w:rsidR="003A7A74" w:rsidRPr="004C31CB" w:rsidRDefault="003A7A74" w:rsidP="003A7A74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8" w:name="_Toc517791950"/>
      <w:r w:rsidRPr="004C31CB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Заключение</w:t>
      </w:r>
      <w:bookmarkEnd w:id="8"/>
    </w:p>
    <w:p w:rsidR="003A7A74" w:rsidRDefault="003A3F9C" w:rsidP="009948F3">
      <w:pPr>
        <w:tabs>
          <w:tab w:val="left" w:pos="1455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1CB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образовательных практик для обучающихся старших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интеграции </w:t>
      </w:r>
      <w:r w:rsidRPr="003A3F9C">
        <w:rPr>
          <w:rFonts w:ascii="Times New Roman" w:eastAsia="Times New Roman" w:hAnsi="Times New Roman" w:cs="Times New Roman"/>
          <w:sz w:val="28"/>
          <w:szCs w:val="28"/>
        </w:rPr>
        <w:t xml:space="preserve">формального, неформального и </w:t>
      </w:r>
      <w:proofErr w:type="spellStart"/>
      <w:r w:rsidRPr="003A3F9C">
        <w:rPr>
          <w:rFonts w:ascii="Times New Roman" w:eastAsia="Times New Roman" w:hAnsi="Times New Roman" w:cs="Times New Roman"/>
          <w:sz w:val="28"/>
          <w:szCs w:val="28"/>
        </w:rPr>
        <w:t>информального</w:t>
      </w:r>
      <w:proofErr w:type="spellEnd"/>
      <w:r w:rsidRPr="003A3F9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</w:t>
      </w:r>
      <w:r>
        <w:rPr>
          <w:rFonts w:ascii="Times New Roman" w:eastAsia="Times New Roman" w:hAnsi="Times New Roman" w:cs="Times New Roman"/>
          <w:sz w:val="28"/>
          <w:szCs w:val="28"/>
        </w:rPr>
        <w:t>с использованием ресурсов</w:t>
      </w:r>
      <w:r w:rsidRPr="003A3F9C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eastAsia="Times New Roman" w:hAnsi="Times New Roman" w:cs="Times New Roman"/>
          <w:sz w:val="28"/>
          <w:szCs w:val="28"/>
        </w:rPr>
        <w:t>, дополнительного</w:t>
      </w:r>
      <w:r w:rsidRPr="003A3F9C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эффективным средством не только для формирования профориентационной </w:t>
      </w:r>
      <w:r w:rsidRPr="00C73671">
        <w:rPr>
          <w:rFonts w:ascii="Times New Roman" w:eastAsia="Times New Roman" w:hAnsi="Times New Roman" w:cs="Times New Roman"/>
          <w:sz w:val="28"/>
          <w:szCs w:val="28"/>
        </w:rPr>
        <w:t>компетен</w:t>
      </w:r>
      <w:r>
        <w:rPr>
          <w:rFonts w:ascii="Times New Roman" w:eastAsia="Times New Roman" w:hAnsi="Times New Roman" w:cs="Times New Roman"/>
          <w:sz w:val="28"/>
          <w:szCs w:val="28"/>
        </w:rPr>
        <w:t>тности ученика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 xml:space="preserve">, но и для его социализации. Профессионально важными компетенциями, наиболее востребованными сегодня на рынке труда, считаются гибкие компетенции 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 xml:space="preserve">или компетенции </w:t>
      </w:r>
      <w:r w:rsidR="004C31CB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4C31CB" w:rsidRPr="004C3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>века</w:t>
      </w:r>
      <w:r w:rsidR="004C31CB" w:rsidRPr="004C3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 xml:space="preserve">(коммуникабельность, 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в команде, 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>работа с информацией,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информационно-коммуникативные компетенции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>и др.)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>, реализуемые во многих областях профессиональной деятельности. С учетом стремительного развития техники и технологий изменяется и мир профессий. Образовательные практики дают возможность обучающимся</w:t>
      </w:r>
      <w:r w:rsidR="009948F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48F3">
        <w:rPr>
          <w:rFonts w:ascii="Times New Roman" w:eastAsia="Times New Roman" w:hAnsi="Times New Roman" w:cs="Times New Roman"/>
          <w:sz w:val="28"/>
          <w:szCs w:val="28"/>
        </w:rPr>
        <w:t>выступая в социально-профессиональных ролях</w:t>
      </w:r>
      <w:r w:rsidR="009948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>выйти за рамки общеобразовательной школы и познакомиться с иными видами деятельности, напрямую связанными с процесс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обучения и</w:t>
      </w:r>
      <w:r w:rsidR="009948F3">
        <w:rPr>
          <w:rFonts w:ascii="Times New Roman" w:eastAsia="Times New Roman" w:hAnsi="Times New Roman" w:cs="Times New Roman"/>
          <w:sz w:val="28"/>
          <w:szCs w:val="28"/>
        </w:rPr>
        <w:t>ли профессии</w:t>
      </w:r>
      <w:bookmarkStart w:id="9" w:name="_GoBack"/>
      <w:bookmarkEnd w:id="9"/>
      <w:r w:rsidR="003A7A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7A74" w:rsidRPr="00C73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0559">
        <w:rPr>
          <w:rFonts w:ascii="Times New Roman" w:eastAsia="Times New Roman" w:hAnsi="Times New Roman" w:cs="Times New Roman"/>
          <w:sz w:val="28"/>
          <w:szCs w:val="28"/>
        </w:rPr>
        <w:t>Социальная направленность образовательных практик способствует развитию гибких компетенций</w:t>
      </w:r>
      <w:r w:rsidR="004C31CB">
        <w:rPr>
          <w:rFonts w:ascii="Times New Roman" w:eastAsia="Times New Roman" w:hAnsi="Times New Roman" w:cs="Times New Roman"/>
          <w:sz w:val="28"/>
          <w:szCs w:val="28"/>
        </w:rPr>
        <w:t xml:space="preserve">. Организация системы образовательных практик способствует достижению метапредметных и личностных образовательных результатов, осознанному самостоятельному выбору профессионального будущего. </w:t>
      </w:r>
    </w:p>
    <w:p w:rsidR="0081103E" w:rsidRPr="004A68BD" w:rsidRDefault="0081103E" w:rsidP="0081103E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10" w:name="_Toc517791951"/>
      <w:r w:rsidRPr="004A68BD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lastRenderedPageBreak/>
        <w:t>Информационное обеспечение предпрофильной подготовки</w:t>
      </w:r>
      <w:bookmarkEnd w:id="10"/>
    </w:p>
    <w:p w:rsidR="00C25F5D" w:rsidRPr="00C25F5D" w:rsidRDefault="00C25F5D" w:rsidP="0081103E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учителя</w:t>
      </w:r>
    </w:p>
    <w:p w:rsidR="00C25F5D" w:rsidRPr="00C25F5D" w:rsidRDefault="00C25F5D" w:rsidP="008110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Основная: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 Е.А. Психология профессионального самоопределения. - М.: Издательский центр «Академия», 2013.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Ларина А. А. Личностно-профессиональное самоопределение учащихся – одна из центральных задач современной школы // Молодой ученый. — 2010. — №1-2. Т. 2. — С. 205-208.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сопровождение самоопределения школьников: методическое пособие для профильной и профессиональной ориентации и профильного обучения школьников / Чистякова С.Н. – М.: Издательский центр «Академия», 2012.</w:t>
      </w:r>
    </w:p>
    <w:p w:rsidR="00C25F5D" w:rsidRPr="00C25F5D" w:rsidRDefault="00C25F5D" w:rsidP="00C25F5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Дополнительная: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Ансимова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П., Кузнецова И. В. Профессиональная ориентация, профотбор и профессиональная адаптация молодежи. – Ярославль,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Формирование универсальных учебных действий в основной школе: от действия – к мысли. Система заданий. Пособие для учителя. (Стандарты второго поколения).– М.: Просвещение, 2011. – 159 с.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Безюлёва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Психолого-педагогическое обоснование профориентационной работы // Профессиональное образование, 2008. – № 5. – С.10.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Гейхман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Л.К. Коммуникативная компетентность профессионала // Профессиональное образование, 2006. – № 3 – С. 28-29.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Горбачёва Е.Ю. Особенности предпрофильной подготовки как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компанента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профильного образования // Личность, семья и общество: вопросы педагогики и психологии: сб. ст. по матер. V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Часть I. – Новосибирск: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СибАК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Горина И. Хочу, могу и надо // Пчела, 2010. – № 47.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Данилюк, А.Я., Кондаков, А.М., Тишков, В.А. Концепция духовно – нравственного развития и воспитания личности гражданина России. – М., Просвещение,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Журавлёв А.Л., Купрейченко А.Б. Экономическое самоопределение. Теория и эмпирическое исследование. – М. :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института психологии РАН, 2007.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Казакова Е.И. Психолого-педагогическое и 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медико-социальное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развития ребенка / под ред. Е.И. Казаковой и Л.М.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СПб</w:t>
      </w:r>
      <w:proofErr w:type="gram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1998.- 245 с.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Киреенко Л.В., Кулагина Н.Н. Профессиональная ориентация – путь снижения безработицы. // Профессионал, 2007. –№ 3. – С. 18-20.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Манушина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Центр профессиональной ориентации // Директор школы, 2008. – № 1. – С. 81-83.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Мартина Н. Формирование готовности к профессиональному самоопределению. // Директор школы, 2009. – № 3. – С. 65 –70.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Митина Л.М. Психологическое сопровождение выбора профессии. – М.: МПСИ: Флинта,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Нодель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 О профессиях, или в поисках пути. Этюды словесника // Профессиональное образование, 2007. – № 1, 2 – С. 35, С. 28.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психология образования / Под ред. И.В. Дубровиной. – М., ТЦ «Сфера», 2010. – С.283-427.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Профориентация. – Учебное пособие для студ.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заведений/ Е.Ю.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Н.С.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Издательский центр «Академия», 2008.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Направления и методы профориентации // Директор школы, 2007. - № 2. – С. 79 –84.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</w:t>
      </w: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Пряжникова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Психология труда и человеческого достоинства. – М., 2009.</w:t>
      </w:r>
    </w:p>
    <w:p w:rsidR="00C25F5D" w:rsidRPr="00C25F5D" w:rsidRDefault="00C25F5D" w:rsidP="00C25F5D">
      <w:pPr>
        <w:numPr>
          <w:ilvl w:val="0"/>
          <w:numId w:val="2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Степанский</w:t>
      </w:r>
      <w:proofErr w:type="spellEnd"/>
      <w:r w:rsidRPr="00C2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Психологические факторы выбора профессии. Теория. Эксперимент. – М.: Московский психолого-социальный институт, 2009.</w:t>
      </w:r>
    </w:p>
    <w:p w:rsidR="00C25F5D" w:rsidRPr="00C25F5D" w:rsidRDefault="00C25F5D" w:rsidP="0081103E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</w:t>
      </w: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ю</w:t>
      </w: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щихся</w:t>
      </w: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25F5D" w:rsidRPr="00C25F5D" w:rsidRDefault="00C25F5D" w:rsidP="00C25F5D">
      <w:pPr>
        <w:numPr>
          <w:ilvl w:val="0"/>
          <w:numId w:val="23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Моя будущая профессия. Тесты по профессиональной ориентации школьников. 8 класс: учебное пособие для общеобразовательных организаций / Кузнецов К.Г., Кувшинова О.Л., Серебряков А.Г., и др. – М.: «Просвещение», 2017.</w:t>
      </w:r>
    </w:p>
    <w:p w:rsidR="00C25F5D" w:rsidRPr="00C25F5D" w:rsidRDefault="00C25F5D" w:rsidP="00C25F5D">
      <w:pPr>
        <w:numPr>
          <w:ilvl w:val="0"/>
          <w:numId w:val="23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Моя будущая профессия. Тесты по профессиональной ориентации школьников. 9 класс: учебное пособие для общеобразовательных организаций / Серебряков А.Г., Хохлов Н.А., Кузнецов К.Г. и др. – М.: «Просвещение», 2017.</w:t>
      </w:r>
    </w:p>
    <w:p w:rsidR="00C25F5D" w:rsidRPr="00C25F5D" w:rsidRDefault="00C25F5D" w:rsidP="00C25F5D">
      <w:pPr>
        <w:numPr>
          <w:ilvl w:val="0"/>
          <w:numId w:val="23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Твоя профессиональная карьера, учебник для 8-9 классов общеобразовательных учреждений под ред. Чистяковой С.Н., – М.: «Просвещение», 2015.</w:t>
      </w:r>
    </w:p>
    <w:p w:rsidR="00C25F5D" w:rsidRPr="00C25F5D" w:rsidRDefault="00C25F5D" w:rsidP="0081103E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F5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Электронные</w:t>
      </w:r>
      <w:r w:rsidRPr="00C25F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ресурсы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9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http://www.proforientator.ru/tests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сайт «Профориентация: кем стать» Центра тестирования и развития «Гуманитарные технологии»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0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http://www.prosv.ru/–издательство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«Просвещение»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1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http://www.rspb.ru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Комитет по занятости населения СПб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http://www.trudvsem.ru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информационный портал Федеральной службы по труду и занятости РФ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3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http://www.proforient.ru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профориентирование</w:t>
      </w:r>
      <w:proofErr w:type="spellEnd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4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http://www.obrazovan.ru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уровни образования в СПб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5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http://www.piterburgvuz.ru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ВУЗы Санкт-Петербурга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6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http://www.spospb.ru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портал средних профессиональных учебных заведений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7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http://www.psy.pu.ru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центр профессиональн</w:t>
      </w:r>
      <w:proofErr w:type="gramStart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личностного  консультирования при факультете психологии СПбГУ 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8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http://www.proforientator.ru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Центр Тестирования и Развития при МГУ «Гуманитарные технологии»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9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http://www.metodkabi.net.ru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методический кабинет по профориентации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0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http://www.edunews.ru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портал для абитуриентов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1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http://www.rabotas.ru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подборка статей о карьере, профессиях, рынке труда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2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http://www.e-xecutive.ru/professions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справочник профессий на сайте сообщества менеджеров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3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http://www.zarplata.ru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сайт издания «Работа &amp; зарплата»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4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http://www.profguide.ru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гид по профессиям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5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http://www.mado.spb.ru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методическое обеспечение профориентации СПБ межрегиональной ассоциации дополнительного образования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6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http://www.rhr.ru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человеческие ресурсы России, анализ рынка труда, профориентация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7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http://vse-professii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справочник профессий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8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http://www.testov.net/proforient.educom.ru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тестирование по профориентации</w:t>
      </w:r>
    </w:p>
    <w:p w:rsidR="00C25F5D" w:rsidRP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29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http://www.profvibor.ru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помощь в профессиональном самоопределении</w:t>
      </w:r>
    </w:p>
    <w:p w:rsidR="00C25F5D" w:rsidRDefault="00AE02E3" w:rsidP="00C25F5D">
      <w:pPr>
        <w:numPr>
          <w:ilvl w:val="0"/>
          <w:numId w:val="24"/>
        </w:numPr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30" w:history="1">
        <w:r w:rsidR="00C25F5D" w:rsidRPr="00C25F5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http://www.ucheba.ru</w:t>
        </w:r>
      </w:hyperlink>
      <w:r w:rsidR="00C25F5D" w:rsidRPr="00C25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информация об учебных заведениях, профориентация</w:t>
      </w:r>
    </w:p>
    <w:p w:rsidR="00AA4089" w:rsidRPr="00C25F5D" w:rsidRDefault="00AA4089" w:rsidP="00C25F5D">
      <w:pPr>
        <w:pStyle w:val="a9"/>
        <w:numPr>
          <w:ilvl w:val="0"/>
          <w:numId w:val="24"/>
        </w:numPr>
        <w:spacing w:after="0"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089">
        <w:rPr>
          <w:rFonts w:ascii="Times New Roman" w:eastAsia="Calibri" w:hAnsi="Times New Roman" w:cs="Times New Roman"/>
          <w:sz w:val="28"/>
          <w:szCs w:val="28"/>
          <w:lang w:eastAsia="ru-RU"/>
        </w:rPr>
        <w:t>http://www.profile-edu.ru/content.php?cont=19 –Концепция профильного обучения на старшей ступени общего образования [электронный ресурс]// Профильное обучение в старшей  школе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25F5D" w:rsidRDefault="00C25F5D">
      <w:r>
        <w:br w:type="page"/>
      </w:r>
    </w:p>
    <w:p w:rsidR="005D31C1" w:rsidRPr="00C47103" w:rsidRDefault="005D31C1" w:rsidP="00C73671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bookmarkStart w:id="11" w:name="_Toc517791952"/>
      <w:r w:rsidRPr="00C47103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lastRenderedPageBreak/>
        <w:t>Глоссарий</w:t>
      </w:r>
      <w:bookmarkEnd w:id="11"/>
      <w:r w:rsidRPr="00C47103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 xml:space="preserve"> 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ИНДИВИДУАЛЬНЫЙ ОБРАЗОВАТЕЛЬНЫЙ МАРШРУТ – набор учебных дисциплин (предметов, элективных курсов, программ внеурочной деятельности), изучаемых на уровне профильного обучения.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ИНДИВИДУАЛЬНЫЙ ПРОФЕССИОНАЛЬНЫЙ МАРШРУТ – путь получения профессии, последовательный набор учреждений профессионального образования и/или предприятий (организаций) для получения профессии. </w:t>
      </w:r>
      <w:proofErr w:type="gramStart"/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Например: колледж – ВУЗ – организация/производство; ВУЗ – производство; колледж – производство и т.д. </w:t>
      </w:r>
      <w:proofErr w:type="gramEnd"/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ПРЕДПРОФИЛЬНАЯ ПОДГОТОВКА – </w:t>
      </w:r>
      <w:r w:rsidRPr="005D31C1">
        <w:rPr>
          <w:rFonts w:ascii="Times New Roman" w:eastAsia="Calibri" w:hAnsi="Times New Roman" w:cs="Times New Roman"/>
          <w:sz w:val="28"/>
          <w:szCs w:val="28"/>
        </w:rPr>
        <w:t>система педагогической, психолого-педагогической, информационной и организационной деятельности, содействующая самоопределению учащихся старших классов основной школы относительно избираемых ими профилирующих направлений будущего обучения и широкой сферы последующей профессиональной деятельности (в том числе в отношении выбора профиля и конкретного места обучения на старшей ступени школы или иных путей продолжения образования).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ПРОФИЛЬНОЕ ОБУЧЕНИЕ – обучение с углублением знаний, склонностей для совершенствования ранее полученных навыков и формирования адекватного представления о своих возможностях через создание системы специализированной подготовки в старших классах общеобразовательной школы. Эта подготовка ориентирована на индивидуализацию обучения и профессиональную ориентацию обучающихся с учетом реальных потребностей рынка труда.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ПРОФЕССИОНАЛЬНАЯ ОРИЕНТАЦИЯ – комплекс действий для выявления у человека интересов и склонностей к определённым видам профессиональной деятельности, а также система действий, направленных на помощь в выборе профессии людям всех возрастов. Понятие профориентации появилось в результате слияния двух слов из разных </w:t>
      </w:r>
      <w:r w:rsidRPr="005D31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языков: латинского </w:t>
      </w:r>
      <w:proofErr w:type="spellStart"/>
      <w:r w:rsidRPr="005D31C1">
        <w:rPr>
          <w:rFonts w:ascii="Times New Roman" w:eastAsia="Calibri" w:hAnsi="Times New Roman" w:cs="Times New Roman"/>
          <w:sz w:val="28"/>
          <w:szCs w:val="28"/>
        </w:rPr>
        <w:t>profession</w:t>
      </w:r>
      <w:proofErr w:type="spellEnd"/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 (род занятий) и французского </w:t>
      </w:r>
      <w:proofErr w:type="spellStart"/>
      <w:r w:rsidRPr="005D31C1">
        <w:rPr>
          <w:rFonts w:ascii="Times New Roman" w:eastAsia="Calibri" w:hAnsi="Times New Roman" w:cs="Times New Roman"/>
          <w:sz w:val="28"/>
          <w:szCs w:val="28"/>
        </w:rPr>
        <w:t>orientation</w:t>
      </w:r>
      <w:proofErr w:type="spellEnd"/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 (установка).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СОЦИАЛИЗАЦИЯ 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– в целом, активного воспроизводства системы общественных отношений.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САМООПРЕДЕЛЕНИЕ – поиск субъектом своего способа жизнедеятельности в мире на основе воспринимаемых, принимаемых или формируемых (создаваемых) им во временной перспективе базовых отношений к миру и человеческому сообществу, а также собственной системы жизненных смыслов, ценностей, принципов, возможностей, способностей и ожиданий.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ПРОФЕССИОНАЛЬНОЕ САМООПРЕДЕЛЕНИЕ – процесс и результат выбора обучающимся собственной позиции, стратегии средств самоосуществления личности в профессии; основанный и регулируемый предпочтениями, интересами, возможностями и способностями.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СОЦИАЛЬНО-ПЕДАГОГИЧЕСКОЕ СОПРОВОЖДЕНИЕ – педагогическая деятельность, обеспечивающая создание условий для принятия субъектом развития оптимального решения в различных ситуациях жизненного выбора.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ПСИХОЛОГО-ПЕДАГОГИЧЕСКОЕ СОПРОВОЖДЕНИЕ – система совместной деятельности педагогов и психологов, предполагающая разработку содержания, средств, методов образовательного процесса, направленного на выявление и использование субъектного опыта ученика, раскрытие способов его мышления, индивидуальное развитие через реализацию образовательной программы с учетом личностных потребностей ученика.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 w:rsidRPr="005D31C1">
        <w:rPr>
          <w:rFonts w:ascii="Calibri" w:eastAsia="Calibri" w:hAnsi="Calibri" w:cs="Times New Roman"/>
          <w:sz w:val="28"/>
          <w:szCs w:val="28"/>
        </w:rPr>
        <w:t xml:space="preserve"> </w:t>
      </w:r>
      <w:r w:rsidRPr="005D31C1">
        <w:rPr>
          <w:rFonts w:ascii="Times New Roman" w:eastAsia="Calibri" w:hAnsi="Times New Roman" w:cs="Times New Roman"/>
          <w:sz w:val="28"/>
          <w:szCs w:val="28"/>
        </w:rPr>
        <w:t>–</w:t>
      </w:r>
      <w:r w:rsidRPr="005D31C1">
        <w:rPr>
          <w:rFonts w:ascii="Calibri" w:eastAsia="Calibri" w:hAnsi="Calibri" w:cs="Times New Roman"/>
          <w:sz w:val="28"/>
          <w:szCs w:val="28"/>
        </w:rPr>
        <w:t xml:space="preserve"> </w:t>
      </w:r>
      <w:r w:rsidRPr="005D31C1">
        <w:rPr>
          <w:rFonts w:ascii="Times New Roman" w:eastAsia="Calibri" w:hAnsi="Times New Roman" w:cs="Times New Roman"/>
          <w:sz w:val="28"/>
          <w:szCs w:val="28"/>
        </w:rPr>
        <w:t>базовое качество обучающегося, включающее в себя совокупность взаимосвязанных качеств личности, необходимых для качественно-продуктивной деятельности в конкретной области.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КОМПЕТЕНТНОСТЬ – (лат. </w:t>
      </w:r>
      <w:proofErr w:type="spellStart"/>
      <w:r w:rsidRPr="005D31C1">
        <w:rPr>
          <w:rFonts w:ascii="Times New Roman" w:eastAsia="Calibri" w:hAnsi="Times New Roman" w:cs="Times New Roman"/>
          <w:sz w:val="28"/>
          <w:szCs w:val="28"/>
        </w:rPr>
        <w:t>competens</w:t>
      </w:r>
      <w:proofErr w:type="spellEnd"/>
      <w:r w:rsidRPr="005D31C1">
        <w:rPr>
          <w:rFonts w:ascii="Times New Roman" w:eastAsia="Calibri" w:hAnsi="Times New Roman" w:cs="Times New Roman"/>
          <w:sz w:val="28"/>
          <w:szCs w:val="28"/>
        </w:rPr>
        <w:t xml:space="preserve"> - подходящий, соответствующий, надлежащий, способный, знающий) наличие знаний и умений, необходимых для эффективной деятельности в заданной предметной области, способность к осуществлению реального, жизненного действия, потенциальная готовность решать задачи со знанием дела; таким образом, компетентность - это обладание определённой компетенцией (компетенциями), т.е. знаниями и опытом собственной деятельности, позволяющими выносить суждения и принимать решения.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ПРОФОРИЕНТАЦИОННАЯ КОМПЕТЕНТНОСТЬ –</w:t>
      </w: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построения собственного профессионального маршрута с учетом индивидуальных интересов, склонностей, возможностей подростка. 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 компетентность можно обозначить совокупностью следующих признаков:</w:t>
      </w:r>
    </w:p>
    <w:p w:rsidR="005D31C1" w:rsidRPr="005D31C1" w:rsidRDefault="005D31C1" w:rsidP="005D31C1">
      <w:pPr>
        <w:numPr>
          <w:ilvl w:val="0"/>
          <w:numId w:val="17"/>
        </w:num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зрелость, сформированность системы ценностей, специфика мотивации субъекта, адекватная самооценка личности, готовность к принятию решений;</w:t>
      </w:r>
    </w:p>
    <w:p w:rsidR="005D31C1" w:rsidRPr="005D31C1" w:rsidRDefault="005D31C1" w:rsidP="005D31C1">
      <w:pPr>
        <w:numPr>
          <w:ilvl w:val="0"/>
          <w:numId w:val="17"/>
        </w:num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информацией об успешном самоопределении, полнота и дифференцированность знаний о профессиях, специфике будущей профессии, знание своих индивидуальных особенностей и путей развития профессионально значимых качеств;</w:t>
      </w:r>
    </w:p>
    <w:p w:rsidR="005D31C1" w:rsidRPr="005D31C1" w:rsidRDefault="005D31C1" w:rsidP="005D31C1">
      <w:pPr>
        <w:numPr>
          <w:ilvl w:val="0"/>
          <w:numId w:val="17"/>
        </w:numPr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субъекта в процессе профессионального самоопределения, под которой понимается знакомство с миром профессий, с профессиональными образовательными учреждениями, осуществление профессионального выбора, наличие обоснованного профессионального плана, осознание предстоящих трудностей и наличие тактики их преодоления.</w:t>
      </w:r>
    </w:p>
    <w:p w:rsidR="00925029" w:rsidRPr="00925029" w:rsidRDefault="00925029" w:rsidP="009250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029">
        <w:rPr>
          <w:rFonts w:ascii="Times New Roman" w:eastAsia="Calibri" w:hAnsi="Times New Roman" w:cs="Times New Roman"/>
          <w:sz w:val="28"/>
          <w:szCs w:val="28"/>
        </w:rPr>
        <w:lastRenderedPageBreak/>
        <w:t>ВИДЫ ДЕЯТЕЛЬНОСТИ – общие виды человеческой деятельности, применимые к различным объектам воздействия: производство, проектирование \ изобретательство, управление, исследование, творчество.</w:t>
      </w:r>
    </w:p>
    <w:p w:rsidR="00925029" w:rsidRPr="00925029" w:rsidRDefault="00925029" w:rsidP="009250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029">
        <w:rPr>
          <w:rFonts w:ascii="Times New Roman" w:eastAsia="Calibri" w:hAnsi="Times New Roman" w:cs="Times New Roman"/>
          <w:sz w:val="28"/>
          <w:szCs w:val="28"/>
        </w:rPr>
        <w:t>ПРЕДПРОФИЛЬНЫЙ КУРС – обязательный курс по выбору, нацеленный на формирование представлений учащегося о широкой группе социально-профессиональных ролей и получение им опыта реализации какого-либо вида деятельности в какой-либо сфере человеческой деятельности.</w:t>
      </w:r>
    </w:p>
    <w:p w:rsidR="00925029" w:rsidRPr="00925029" w:rsidRDefault="00925029" w:rsidP="009250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029">
        <w:rPr>
          <w:rFonts w:ascii="Times New Roman" w:eastAsia="Calibri" w:hAnsi="Times New Roman" w:cs="Times New Roman"/>
          <w:sz w:val="28"/>
          <w:szCs w:val="28"/>
        </w:rPr>
        <w:t>СОЦИАЛЬНО-ПРОФЕССИОНАЛЬНЫЕ РОЛИ – роли в отношении коллектива, клиентов и других объектов профессиональной деятельности, характерные для группы схожих по какому-то признаку (виду деятельности, объекту воздействия и т.п.) профессий с максимально широко очерченными границами и нивелированными отличиями между отдельными профессиями и специальностями внутри группы.</w:t>
      </w:r>
    </w:p>
    <w:p w:rsidR="00925029" w:rsidRDefault="00925029" w:rsidP="009250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029">
        <w:rPr>
          <w:rFonts w:ascii="Times New Roman" w:eastAsia="Calibri" w:hAnsi="Times New Roman" w:cs="Times New Roman"/>
          <w:sz w:val="28"/>
          <w:szCs w:val="28"/>
        </w:rPr>
        <w:t>СФЕРЫ ДЕЯТЕЛЬНОСТИ – в общем виде выделяются на основе главного объекта воздействия человека: материальный объект, человек, знаковые системы, окружающая среда, художественный образ.</w:t>
      </w:r>
    </w:p>
    <w:p w:rsidR="005D31C1" w:rsidRPr="005D31C1" w:rsidRDefault="005D31C1" w:rsidP="005D31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1C1">
        <w:rPr>
          <w:rFonts w:ascii="Times New Roman" w:eastAsia="Calibri" w:hAnsi="Times New Roman" w:cs="Times New Roman"/>
          <w:sz w:val="28"/>
          <w:szCs w:val="28"/>
        </w:rPr>
        <w:t>ПРОФЕССИОНАЛЬНАЯ ПРОБА</w:t>
      </w:r>
      <w:r w:rsidRPr="005D31C1">
        <w:rPr>
          <w:rFonts w:ascii="Calibri" w:eastAsia="Calibri" w:hAnsi="Calibri" w:cs="Times New Roman"/>
          <w:sz w:val="28"/>
          <w:szCs w:val="28"/>
        </w:rPr>
        <w:t xml:space="preserve"> </w:t>
      </w:r>
      <w:r w:rsidRPr="005D31C1">
        <w:rPr>
          <w:rFonts w:ascii="Times New Roman" w:eastAsia="Calibri" w:hAnsi="Times New Roman" w:cs="Times New Roman"/>
          <w:sz w:val="28"/>
          <w:szCs w:val="28"/>
        </w:rPr>
        <w:t>– испытание, моделирующее элементы конкретного вида профессиональной деятельности, имеющее завершенный вид, способствующая сознательному, обоснованному выбору профессии.</w:t>
      </w:r>
      <w:r w:rsidRPr="005D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D31C1">
        <w:rPr>
          <w:rFonts w:ascii="Times New Roman" w:eastAsia="Calibri" w:hAnsi="Times New Roman" w:cs="Times New Roman"/>
          <w:sz w:val="28"/>
          <w:szCs w:val="28"/>
        </w:rPr>
        <w:t>Испытание интересов, способностей и личностных особенностей учащихся в реальных условиях профессиональной деятельности, обеспечивающее проверку выборов с помощью собственного трудового опыта).</w:t>
      </w:r>
    </w:p>
    <w:sectPr w:rsidR="005D31C1" w:rsidRPr="005D31C1" w:rsidSect="00051F72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E3" w:rsidRDefault="00AE02E3" w:rsidP="00017EF4">
      <w:pPr>
        <w:spacing w:after="0" w:line="240" w:lineRule="auto"/>
      </w:pPr>
      <w:r>
        <w:separator/>
      </w:r>
    </w:p>
  </w:endnote>
  <w:endnote w:type="continuationSeparator" w:id="0">
    <w:p w:rsidR="00AE02E3" w:rsidRDefault="00AE02E3" w:rsidP="0001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760986"/>
      <w:docPartObj>
        <w:docPartGallery w:val="Page Numbers (Bottom of Page)"/>
        <w:docPartUnique/>
      </w:docPartObj>
    </w:sdtPr>
    <w:sdtEndPr/>
    <w:sdtContent>
      <w:p w:rsidR="004C31CB" w:rsidRDefault="004C31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F3">
          <w:rPr>
            <w:noProof/>
          </w:rPr>
          <w:t>17</w:t>
        </w:r>
        <w:r>
          <w:fldChar w:fldCharType="end"/>
        </w:r>
      </w:p>
    </w:sdtContent>
  </w:sdt>
  <w:p w:rsidR="004C31CB" w:rsidRDefault="004C31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E3" w:rsidRDefault="00AE02E3" w:rsidP="00017EF4">
      <w:pPr>
        <w:spacing w:after="0" w:line="240" w:lineRule="auto"/>
      </w:pPr>
      <w:r>
        <w:separator/>
      </w:r>
    </w:p>
  </w:footnote>
  <w:footnote w:type="continuationSeparator" w:id="0">
    <w:p w:rsidR="00AE02E3" w:rsidRDefault="00AE02E3" w:rsidP="0001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3A34"/>
    <w:multiLevelType w:val="hybridMultilevel"/>
    <w:tmpl w:val="50A43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043C39"/>
    <w:multiLevelType w:val="hybridMultilevel"/>
    <w:tmpl w:val="17E4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8938D5"/>
    <w:multiLevelType w:val="hybridMultilevel"/>
    <w:tmpl w:val="19CE6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647F6C"/>
    <w:multiLevelType w:val="hybridMultilevel"/>
    <w:tmpl w:val="5EE85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104F8"/>
    <w:multiLevelType w:val="hybridMultilevel"/>
    <w:tmpl w:val="A4467C16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7A3AD0"/>
    <w:multiLevelType w:val="hybridMultilevel"/>
    <w:tmpl w:val="F8DCAB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854BDD"/>
    <w:multiLevelType w:val="hybridMultilevel"/>
    <w:tmpl w:val="488E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9089D"/>
    <w:multiLevelType w:val="hybridMultilevel"/>
    <w:tmpl w:val="61B02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943400"/>
    <w:multiLevelType w:val="hybridMultilevel"/>
    <w:tmpl w:val="3FF8A0CA"/>
    <w:lvl w:ilvl="0" w:tplc="7AC2CA5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2513F"/>
    <w:multiLevelType w:val="hybridMultilevel"/>
    <w:tmpl w:val="365E1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360733"/>
    <w:multiLevelType w:val="hybridMultilevel"/>
    <w:tmpl w:val="D730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F08FC"/>
    <w:multiLevelType w:val="hybridMultilevel"/>
    <w:tmpl w:val="BAB8BBBC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>
    <w:nsid w:val="43136663"/>
    <w:multiLevelType w:val="hybridMultilevel"/>
    <w:tmpl w:val="4E06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83AF5"/>
    <w:multiLevelType w:val="hybridMultilevel"/>
    <w:tmpl w:val="FDAEB12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606197E"/>
    <w:multiLevelType w:val="hybridMultilevel"/>
    <w:tmpl w:val="6358845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515487"/>
    <w:multiLevelType w:val="hybridMultilevel"/>
    <w:tmpl w:val="16D2E24C"/>
    <w:lvl w:ilvl="0" w:tplc="F862931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CC15E3"/>
    <w:multiLevelType w:val="hybridMultilevel"/>
    <w:tmpl w:val="1EAE836C"/>
    <w:lvl w:ilvl="0" w:tplc="04190011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</w:lvl>
    <w:lvl w:ilvl="1" w:tplc="DB9C9F9C">
      <w:start w:val="1"/>
      <w:numFmt w:val="bullet"/>
      <w:lvlText w:val="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8">
    <w:nsid w:val="5B3D6B6F"/>
    <w:multiLevelType w:val="hybridMultilevel"/>
    <w:tmpl w:val="1C508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0E30BC"/>
    <w:multiLevelType w:val="hybridMultilevel"/>
    <w:tmpl w:val="8E40A7DC"/>
    <w:lvl w:ilvl="0" w:tplc="2166D10E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B53886"/>
    <w:multiLevelType w:val="hybridMultilevel"/>
    <w:tmpl w:val="BFAE2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1A965C3"/>
    <w:multiLevelType w:val="hybridMultilevel"/>
    <w:tmpl w:val="7CD21B80"/>
    <w:lvl w:ilvl="0" w:tplc="786EA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D0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6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28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AB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43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85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0E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C6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4F67373"/>
    <w:multiLevelType w:val="hybridMultilevel"/>
    <w:tmpl w:val="C316A956"/>
    <w:lvl w:ilvl="0" w:tplc="EBFA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66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6E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0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0AE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A5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07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E1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57E660B"/>
    <w:multiLevelType w:val="hybridMultilevel"/>
    <w:tmpl w:val="0A9C7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E8F3CC6"/>
    <w:multiLevelType w:val="hybridMultilevel"/>
    <w:tmpl w:val="957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4D6F83"/>
    <w:multiLevelType w:val="hybridMultilevel"/>
    <w:tmpl w:val="867CA7D8"/>
    <w:lvl w:ilvl="0" w:tplc="6112621E">
      <w:start w:val="1"/>
      <w:numFmt w:val="upperRoman"/>
      <w:lvlText w:val="%1."/>
      <w:lvlJc w:val="left"/>
      <w:pPr>
        <w:tabs>
          <w:tab w:val="num" w:pos="340"/>
        </w:tabs>
        <w:ind w:left="454" w:hanging="170"/>
      </w:pPr>
      <w:rPr>
        <w:rFonts w:hint="default"/>
      </w:rPr>
    </w:lvl>
    <w:lvl w:ilvl="1" w:tplc="557AB9F2">
      <w:start w:val="1"/>
      <w:numFmt w:val="bullet"/>
      <w:lvlText w:val=""/>
      <w:lvlJc w:val="left"/>
      <w:pPr>
        <w:tabs>
          <w:tab w:val="num" w:pos="1137"/>
        </w:tabs>
        <w:ind w:left="1364" w:hanging="284"/>
      </w:pPr>
      <w:rPr>
        <w:rFonts w:ascii="Wingdings 2" w:hAnsi="Wingdings 2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0"/>
  </w:num>
  <w:num w:numId="5">
    <w:abstractNumId w:val="12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5"/>
  </w:num>
  <w:num w:numId="11">
    <w:abstractNumId w:val="24"/>
  </w:num>
  <w:num w:numId="12">
    <w:abstractNumId w:val="2"/>
  </w:num>
  <w:num w:numId="13">
    <w:abstractNumId w:val="18"/>
  </w:num>
  <w:num w:numId="14">
    <w:abstractNumId w:val="3"/>
  </w:num>
  <w:num w:numId="15">
    <w:abstractNumId w:val="25"/>
  </w:num>
  <w:num w:numId="16">
    <w:abstractNumId w:val="7"/>
  </w:num>
  <w:num w:numId="17">
    <w:abstractNumId w:val="11"/>
  </w:num>
  <w:num w:numId="18">
    <w:abstractNumId w:val="6"/>
  </w:num>
  <w:num w:numId="19">
    <w:abstractNumId w:val="23"/>
  </w:num>
  <w:num w:numId="20">
    <w:abstractNumId w:val="16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77"/>
    <w:rsid w:val="00017EF4"/>
    <w:rsid w:val="0004297F"/>
    <w:rsid w:val="00051F72"/>
    <w:rsid w:val="00066CC1"/>
    <w:rsid w:val="000C36EF"/>
    <w:rsid w:val="001069AE"/>
    <w:rsid w:val="00136720"/>
    <w:rsid w:val="00157028"/>
    <w:rsid w:val="00157896"/>
    <w:rsid w:val="00161A8E"/>
    <w:rsid w:val="00176336"/>
    <w:rsid w:val="001A5DF7"/>
    <w:rsid w:val="001B09C2"/>
    <w:rsid w:val="001C25CE"/>
    <w:rsid w:val="001F01DE"/>
    <w:rsid w:val="001F6F17"/>
    <w:rsid w:val="00213AB6"/>
    <w:rsid w:val="00240C93"/>
    <w:rsid w:val="002466FA"/>
    <w:rsid w:val="00250B9A"/>
    <w:rsid w:val="00260F58"/>
    <w:rsid w:val="00285BE1"/>
    <w:rsid w:val="002D2D2A"/>
    <w:rsid w:val="00341136"/>
    <w:rsid w:val="003517B4"/>
    <w:rsid w:val="00370BF5"/>
    <w:rsid w:val="003A3F9C"/>
    <w:rsid w:val="003A7A74"/>
    <w:rsid w:val="003C689A"/>
    <w:rsid w:val="003C73AB"/>
    <w:rsid w:val="003D5018"/>
    <w:rsid w:val="003E7D06"/>
    <w:rsid w:val="003F3EF6"/>
    <w:rsid w:val="004A68BD"/>
    <w:rsid w:val="004B0559"/>
    <w:rsid w:val="004C0C4F"/>
    <w:rsid w:val="004C31CB"/>
    <w:rsid w:val="004F004E"/>
    <w:rsid w:val="0050707B"/>
    <w:rsid w:val="00512F60"/>
    <w:rsid w:val="00545DC7"/>
    <w:rsid w:val="005518E6"/>
    <w:rsid w:val="00566F51"/>
    <w:rsid w:val="005D31C1"/>
    <w:rsid w:val="005D4471"/>
    <w:rsid w:val="005F0A6D"/>
    <w:rsid w:val="005F6402"/>
    <w:rsid w:val="005F7241"/>
    <w:rsid w:val="006026AB"/>
    <w:rsid w:val="0062251F"/>
    <w:rsid w:val="00624C55"/>
    <w:rsid w:val="00626904"/>
    <w:rsid w:val="006313FF"/>
    <w:rsid w:val="00633748"/>
    <w:rsid w:val="00657B8D"/>
    <w:rsid w:val="00662457"/>
    <w:rsid w:val="00677156"/>
    <w:rsid w:val="00694849"/>
    <w:rsid w:val="006A5767"/>
    <w:rsid w:val="006B6605"/>
    <w:rsid w:val="006D52B9"/>
    <w:rsid w:val="006E3169"/>
    <w:rsid w:val="006E3FB5"/>
    <w:rsid w:val="00744253"/>
    <w:rsid w:val="00752FC4"/>
    <w:rsid w:val="0076177B"/>
    <w:rsid w:val="00762DC4"/>
    <w:rsid w:val="0077460D"/>
    <w:rsid w:val="007B413F"/>
    <w:rsid w:val="007B5CA4"/>
    <w:rsid w:val="007C75E8"/>
    <w:rsid w:val="0081103E"/>
    <w:rsid w:val="00827B21"/>
    <w:rsid w:val="00874C68"/>
    <w:rsid w:val="008A2917"/>
    <w:rsid w:val="008A3BFD"/>
    <w:rsid w:val="008A5577"/>
    <w:rsid w:val="008F2CF9"/>
    <w:rsid w:val="0090004D"/>
    <w:rsid w:val="00907EF0"/>
    <w:rsid w:val="00925029"/>
    <w:rsid w:val="009948F3"/>
    <w:rsid w:val="009A084D"/>
    <w:rsid w:val="009A58EA"/>
    <w:rsid w:val="009B5D59"/>
    <w:rsid w:val="009C7AB4"/>
    <w:rsid w:val="009D3AA5"/>
    <w:rsid w:val="009D6557"/>
    <w:rsid w:val="009F60D0"/>
    <w:rsid w:val="00A11253"/>
    <w:rsid w:val="00A118D1"/>
    <w:rsid w:val="00A3018A"/>
    <w:rsid w:val="00A45AF5"/>
    <w:rsid w:val="00A5060D"/>
    <w:rsid w:val="00A91B7A"/>
    <w:rsid w:val="00AA4089"/>
    <w:rsid w:val="00AC0449"/>
    <w:rsid w:val="00AE02E3"/>
    <w:rsid w:val="00AE6FB7"/>
    <w:rsid w:val="00AF7C2F"/>
    <w:rsid w:val="00B44720"/>
    <w:rsid w:val="00BA682B"/>
    <w:rsid w:val="00BE1894"/>
    <w:rsid w:val="00C0673F"/>
    <w:rsid w:val="00C13338"/>
    <w:rsid w:val="00C22FA3"/>
    <w:rsid w:val="00C25F5D"/>
    <w:rsid w:val="00C47103"/>
    <w:rsid w:val="00C73671"/>
    <w:rsid w:val="00CF15CC"/>
    <w:rsid w:val="00D02285"/>
    <w:rsid w:val="00D138EB"/>
    <w:rsid w:val="00D378FA"/>
    <w:rsid w:val="00D5669C"/>
    <w:rsid w:val="00DD13F2"/>
    <w:rsid w:val="00E022C2"/>
    <w:rsid w:val="00E10E3B"/>
    <w:rsid w:val="00E215AD"/>
    <w:rsid w:val="00E511E5"/>
    <w:rsid w:val="00E70400"/>
    <w:rsid w:val="00E86A77"/>
    <w:rsid w:val="00ED1FF5"/>
    <w:rsid w:val="00EF4A95"/>
    <w:rsid w:val="00F04CD0"/>
    <w:rsid w:val="00FA0F35"/>
    <w:rsid w:val="00FC2777"/>
    <w:rsid w:val="00FD5E48"/>
    <w:rsid w:val="00FD61EA"/>
    <w:rsid w:val="00FD7EFB"/>
    <w:rsid w:val="00FE0CA6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017EF4"/>
    <w:pPr>
      <w:spacing w:after="100"/>
      <w:ind w:left="440"/>
    </w:pPr>
  </w:style>
  <w:style w:type="character" w:styleId="a3">
    <w:name w:val="footnote reference"/>
    <w:uiPriority w:val="99"/>
    <w:semiHidden/>
    <w:rsid w:val="00017EF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017EF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7EF4"/>
    <w:rPr>
      <w:rFonts w:ascii="Calibri" w:eastAsia="Calibri" w:hAnsi="Calibri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017EF4"/>
    <w:rPr>
      <w:color w:val="0000FF"/>
      <w:u w:val="single"/>
    </w:rPr>
  </w:style>
  <w:style w:type="paragraph" w:customStyle="1" w:styleId="Heading">
    <w:name w:val="Heading"/>
    <w:rsid w:val="0001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4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F72"/>
  </w:style>
  <w:style w:type="paragraph" w:styleId="ac">
    <w:name w:val="footer"/>
    <w:basedOn w:val="a"/>
    <w:link w:val="ad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1F72"/>
  </w:style>
  <w:style w:type="paragraph" w:styleId="2">
    <w:name w:val="toc 2"/>
    <w:basedOn w:val="a"/>
    <w:next w:val="a"/>
    <w:autoRedefine/>
    <w:uiPriority w:val="39"/>
    <w:unhideWhenUsed/>
    <w:rsid w:val="00D02285"/>
    <w:pPr>
      <w:spacing w:after="100"/>
      <w:ind w:left="220"/>
    </w:pPr>
  </w:style>
  <w:style w:type="table" w:customStyle="1" w:styleId="1">
    <w:name w:val="Сетка таблицы1"/>
    <w:basedOn w:val="a1"/>
    <w:next w:val="ae"/>
    <w:uiPriority w:val="39"/>
    <w:rsid w:val="00566F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56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017EF4"/>
    <w:pPr>
      <w:spacing w:after="100"/>
      <w:ind w:left="440"/>
    </w:pPr>
  </w:style>
  <w:style w:type="character" w:styleId="a3">
    <w:name w:val="footnote reference"/>
    <w:uiPriority w:val="99"/>
    <w:semiHidden/>
    <w:rsid w:val="00017EF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017EF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7EF4"/>
    <w:rPr>
      <w:rFonts w:ascii="Calibri" w:eastAsia="Calibri" w:hAnsi="Calibri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017EF4"/>
    <w:rPr>
      <w:color w:val="0000FF"/>
      <w:u w:val="single"/>
    </w:rPr>
  </w:style>
  <w:style w:type="paragraph" w:customStyle="1" w:styleId="Heading">
    <w:name w:val="Heading"/>
    <w:rsid w:val="00017E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E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47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1F72"/>
  </w:style>
  <w:style w:type="paragraph" w:styleId="ac">
    <w:name w:val="footer"/>
    <w:basedOn w:val="a"/>
    <w:link w:val="ad"/>
    <w:uiPriority w:val="99"/>
    <w:unhideWhenUsed/>
    <w:rsid w:val="00051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1F72"/>
  </w:style>
  <w:style w:type="paragraph" w:styleId="2">
    <w:name w:val="toc 2"/>
    <w:basedOn w:val="a"/>
    <w:next w:val="a"/>
    <w:autoRedefine/>
    <w:uiPriority w:val="39"/>
    <w:unhideWhenUsed/>
    <w:rsid w:val="00D02285"/>
    <w:pPr>
      <w:spacing w:after="100"/>
      <w:ind w:left="220"/>
    </w:pPr>
  </w:style>
  <w:style w:type="table" w:customStyle="1" w:styleId="1">
    <w:name w:val="Сетка таблицы1"/>
    <w:basedOn w:val="a1"/>
    <w:next w:val="ae"/>
    <w:uiPriority w:val="39"/>
    <w:rsid w:val="00566F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56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forient.ru/" TargetMode="External"/><Relationship Id="rId18" Type="http://schemas.openxmlformats.org/officeDocument/2006/relationships/hyperlink" Target="http://www.proforientator.ru/" TargetMode="External"/><Relationship Id="rId26" Type="http://schemas.openxmlformats.org/officeDocument/2006/relationships/hyperlink" Target="http://www.rh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bota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rudvsem.ru/" TargetMode="External"/><Relationship Id="rId17" Type="http://schemas.openxmlformats.org/officeDocument/2006/relationships/hyperlink" Target="http://www.psy.pu.ru/" TargetMode="External"/><Relationship Id="rId25" Type="http://schemas.openxmlformats.org/officeDocument/2006/relationships/hyperlink" Target="http://www.mado.spb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pospb.ru/" TargetMode="External"/><Relationship Id="rId20" Type="http://schemas.openxmlformats.org/officeDocument/2006/relationships/hyperlink" Target="http://www.edunews.ru/" TargetMode="External"/><Relationship Id="rId29" Type="http://schemas.openxmlformats.org/officeDocument/2006/relationships/hyperlink" Target="http://www.profvibo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pb.ru/" TargetMode="External"/><Relationship Id="rId24" Type="http://schemas.openxmlformats.org/officeDocument/2006/relationships/hyperlink" Target="http://www.profguide.ru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iterburgvuz.ru/" TargetMode="External"/><Relationship Id="rId23" Type="http://schemas.openxmlformats.org/officeDocument/2006/relationships/hyperlink" Target="http://www.zarplata.ru/" TargetMode="External"/><Relationship Id="rId28" Type="http://schemas.openxmlformats.org/officeDocument/2006/relationships/hyperlink" Target="http://www.testov.net/proforient.educom.ru" TargetMode="External"/><Relationship Id="rId10" Type="http://schemas.openxmlformats.org/officeDocument/2006/relationships/hyperlink" Target="http://www.prosv.ru/&#8211;&#1080;&#1079;&#1076;&#1072;&#1090;&#1077;&#1083;&#1100;&#1089;&#1090;&#1074;&#1086;" TargetMode="External"/><Relationship Id="rId19" Type="http://schemas.openxmlformats.org/officeDocument/2006/relationships/hyperlink" Target="http://www.metodkabi.net.ru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roforientator.ru/tests" TargetMode="External"/><Relationship Id="rId14" Type="http://schemas.openxmlformats.org/officeDocument/2006/relationships/hyperlink" Target="http://www.obrazovan.ru/" TargetMode="External"/><Relationship Id="rId22" Type="http://schemas.openxmlformats.org/officeDocument/2006/relationships/hyperlink" Target="http://www.e-xecutive.ru/professions" TargetMode="External"/><Relationship Id="rId27" Type="http://schemas.openxmlformats.org/officeDocument/2006/relationships/hyperlink" Target="http://vse-professii/" TargetMode="External"/><Relationship Id="rId30" Type="http://schemas.openxmlformats.org/officeDocument/2006/relationships/hyperlink" Target="http://www.uche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25D8A-867D-47AA-9F16-1E5DCE67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25</Pages>
  <Words>5968</Words>
  <Characters>34022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16</cp:revision>
  <dcterms:created xsi:type="dcterms:W3CDTF">2018-05-30T15:45:00Z</dcterms:created>
  <dcterms:modified xsi:type="dcterms:W3CDTF">2019-05-15T11:48:00Z</dcterms:modified>
</cp:coreProperties>
</file>